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321E" w14:textId="77777777" w:rsidR="00EE5197" w:rsidRDefault="00EE5197" w:rsidP="00C129AF">
      <w:pPr>
        <w:ind w:right="-330"/>
        <w:rPr>
          <w:b/>
          <w:u w:val="single"/>
        </w:rPr>
      </w:pPr>
    </w:p>
    <w:p w14:paraId="6963C75E" w14:textId="30F47AD6" w:rsidR="00E91C45" w:rsidRDefault="003D6E86" w:rsidP="00C129AF">
      <w:pPr>
        <w:ind w:right="-330"/>
        <w:rPr>
          <w:b/>
          <w:u w:val="single"/>
        </w:rPr>
      </w:pPr>
      <w:r>
        <w:rPr>
          <w:b/>
          <w:u w:val="single"/>
        </w:rPr>
        <w:t xml:space="preserve">AkzoNobel </w:t>
      </w:r>
      <w:r w:rsidR="00C30990" w:rsidRPr="001F7FA1">
        <w:rPr>
          <w:b/>
          <w:u w:val="single"/>
        </w:rPr>
        <w:t>20</w:t>
      </w:r>
      <w:r w:rsidR="00A217A0">
        <w:rPr>
          <w:b/>
          <w:u w:val="single"/>
        </w:rPr>
        <w:t>2</w:t>
      </w:r>
      <w:r w:rsidR="005E14EB">
        <w:rPr>
          <w:b/>
          <w:u w:val="single"/>
        </w:rPr>
        <w:t>2</w:t>
      </w:r>
      <w:r w:rsidR="00A217A0">
        <w:rPr>
          <w:b/>
          <w:u w:val="single"/>
        </w:rPr>
        <w:t xml:space="preserve"> </w:t>
      </w:r>
      <w:r w:rsidR="00C30990" w:rsidRPr="001F7FA1">
        <w:rPr>
          <w:b/>
          <w:u w:val="single"/>
        </w:rPr>
        <w:t>Gender Pay Report</w:t>
      </w:r>
      <w:r w:rsidR="009862A8">
        <w:rPr>
          <w:b/>
          <w:u w:val="single"/>
        </w:rPr>
        <w:t xml:space="preserve"> </w:t>
      </w:r>
    </w:p>
    <w:p w14:paraId="0DDE6E3E" w14:textId="380280E2" w:rsidR="001C3283" w:rsidRDefault="001C3283">
      <w:pPr>
        <w:rPr>
          <w:b/>
          <w:u w:val="single"/>
        </w:rPr>
      </w:pPr>
    </w:p>
    <w:p w14:paraId="362F2B5D" w14:textId="0B2E7F04" w:rsidR="001C3283" w:rsidRPr="00FF74B5" w:rsidRDefault="003D5D1E">
      <w:pPr>
        <w:rPr>
          <w:b/>
          <w:u w:val="single"/>
        </w:rPr>
      </w:pPr>
      <w:bookmarkStart w:id="0" w:name="_Hlk782388"/>
      <w:r w:rsidRPr="00FF74B5">
        <w:rPr>
          <w:b/>
          <w:u w:val="single"/>
        </w:rPr>
        <w:t>Foreword</w:t>
      </w:r>
    </w:p>
    <w:p w14:paraId="4BFA62CB" w14:textId="53166DB8" w:rsidR="009F4D15" w:rsidRPr="00FF74B5" w:rsidRDefault="008B634F" w:rsidP="00FF74B5">
      <w:pPr>
        <w:pStyle w:val="NormalWeb"/>
        <w:spacing w:before="0" w:beforeAutospacing="0" w:after="360" w:afterAutospacing="0"/>
        <w:jc w:val="both"/>
        <w:rPr>
          <w:rFonts w:ascii="Arial" w:hAnsi="Arial" w:cs="Arial"/>
          <w:i/>
          <w:iCs/>
          <w:sz w:val="16"/>
          <w:szCs w:val="16"/>
          <w:lang w:val="en"/>
        </w:rPr>
      </w:pPr>
      <w:r w:rsidRPr="00FF74B5">
        <w:rPr>
          <w:rFonts w:ascii="Arial" w:hAnsi="Arial" w:cs="Arial"/>
          <w:sz w:val="22"/>
          <w:szCs w:val="22"/>
        </w:rPr>
        <w:t xml:space="preserve">AkzoNobel is proud to be building a diverse and inclusive company where we can all perform at our best and support others in their success. By becoming a more inclusive employer, great people will want to work here who can help drive us forward and understand and anticipate the changing needs and expectations of our customers. </w:t>
      </w:r>
      <w:r w:rsidR="00FF74B5" w:rsidRPr="00FF74B5">
        <w:rPr>
          <w:rFonts w:ascii="Arial" w:hAnsi="Arial" w:cs="Arial"/>
          <w:sz w:val="22"/>
          <w:szCs w:val="22"/>
        </w:rPr>
        <w:t>“</w:t>
      </w:r>
      <w:r w:rsidRPr="00FF74B5">
        <w:rPr>
          <w:rFonts w:ascii="Arial" w:hAnsi="Arial" w:cs="Arial"/>
          <w:sz w:val="22"/>
          <w:szCs w:val="22"/>
        </w:rPr>
        <w:t>We</w:t>
      </w:r>
      <w:r w:rsidR="008E2C4B" w:rsidRPr="00FF74B5">
        <w:rPr>
          <w:rFonts w:ascii="Arial" w:hAnsi="Arial" w:cs="Arial"/>
          <w:sz w:val="22"/>
          <w:szCs w:val="22"/>
          <w:lang w:val="en"/>
        </w:rPr>
        <w:t xml:space="preserve"> are committed to fostering an inclusive environment where employees are rewarded equally, regardless of their gender – in addition to improving female representation</w:t>
      </w:r>
      <w:r w:rsidRPr="00FF74B5">
        <w:rPr>
          <w:rFonts w:ascii="Arial" w:hAnsi="Arial" w:cs="Arial"/>
          <w:sz w:val="22"/>
          <w:szCs w:val="22"/>
          <w:lang w:val="en"/>
        </w:rPr>
        <w:t>, especially at senior levels in the organisation</w:t>
      </w:r>
      <w:r w:rsidR="008E2C4B" w:rsidRPr="00FF74B5">
        <w:rPr>
          <w:rFonts w:ascii="Arial" w:hAnsi="Arial" w:cs="Arial"/>
          <w:sz w:val="22"/>
          <w:szCs w:val="22"/>
          <w:lang w:val="en"/>
        </w:rPr>
        <w:t xml:space="preserve">. To prevent a gender pay gap, we follow a rewards philosophy of </w:t>
      </w:r>
      <w:r w:rsidR="004D34C9" w:rsidRPr="00FF74B5">
        <w:rPr>
          <w:rFonts w:ascii="Arial" w:hAnsi="Arial" w:cs="Arial"/>
          <w:sz w:val="22"/>
          <w:szCs w:val="22"/>
          <w:lang w:val="en"/>
        </w:rPr>
        <w:t>globally structured</w:t>
      </w:r>
      <w:r w:rsidR="008E2C4B" w:rsidRPr="00FF74B5">
        <w:rPr>
          <w:rFonts w:ascii="Arial" w:hAnsi="Arial" w:cs="Arial"/>
          <w:sz w:val="22"/>
          <w:szCs w:val="22"/>
          <w:lang w:val="en"/>
        </w:rPr>
        <w:t xml:space="preserve"> compensation based on market references and performance.</w:t>
      </w:r>
      <w:r w:rsidR="00FF74B5" w:rsidRPr="00FF74B5">
        <w:rPr>
          <w:rFonts w:ascii="Arial" w:hAnsi="Arial" w:cs="Arial"/>
          <w:sz w:val="22"/>
          <w:szCs w:val="22"/>
          <w:lang w:val="en"/>
        </w:rPr>
        <w:t>”</w:t>
      </w:r>
      <w:r w:rsidR="008E2C4B" w:rsidRPr="00FF74B5">
        <w:rPr>
          <w:rFonts w:ascii="Arial" w:hAnsi="Arial" w:cs="Arial"/>
          <w:sz w:val="22"/>
          <w:szCs w:val="22"/>
          <w:lang w:val="en"/>
        </w:rPr>
        <w:t xml:space="preserve"> </w:t>
      </w:r>
      <w:r w:rsidR="008E2C4B" w:rsidRPr="00FF74B5">
        <w:rPr>
          <w:rFonts w:ascii="Arial" w:hAnsi="Arial" w:cs="Arial"/>
          <w:i/>
          <w:iCs/>
          <w:sz w:val="16"/>
          <w:szCs w:val="16"/>
          <w:lang w:val="en"/>
        </w:rPr>
        <w:t>(excerpt from 2022 Annual Report)</w:t>
      </w:r>
    </w:p>
    <w:p w14:paraId="0D1B840A" w14:textId="4F22A04A" w:rsidR="009F4D15" w:rsidRPr="00FF74B5" w:rsidRDefault="009F4D15" w:rsidP="00FF74B5">
      <w:pPr>
        <w:pStyle w:val="NormalWeb"/>
        <w:jc w:val="both"/>
        <w:rPr>
          <w:rFonts w:ascii="Arial" w:hAnsi="Arial" w:cs="Arial"/>
          <w:sz w:val="22"/>
          <w:szCs w:val="22"/>
          <w:lang w:val="en"/>
        </w:rPr>
      </w:pPr>
      <w:r w:rsidRPr="00FF74B5">
        <w:rPr>
          <w:rFonts w:ascii="Arial" w:hAnsi="Arial" w:cs="Arial"/>
          <w:sz w:val="22"/>
          <w:szCs w:val="22"/>
          <w:lang w:val="en"/>
        </w:rPr>
        <w:t xml:space="preserve">The historical gender imbalance which exists within some business areas continues to </w:t>
      </w:r>
      <w:r w:rsidR="008B634F" w:rsidRPr="00FF74B5">
        <w:rPr>
          <w:rFonts w:ascii="Arial" w:hAnsi="Arial" w:cs="Arial"/>
          <w:sz w:val="22"/>
          <w:szCs w:val="22"/>
          <w:lang w:val="en"/>
        </w:rPr>
        <w:t>be</w:t>
      </w:r>
      <w:r w:rsidRPr="00FF74B5">
        <w:rPr>
          <w:rFonts w:ascii="Arial" w:hAnsi="Arial" w:cs="Arial"/>
          <w:sz w:val="22"/>
          <w:szCs w:val="22"/>
          <w:lang w:val="en"/>
        </w:rPr>
        <w:t xml:space="preserve"> </w:t>
      </w:r>
      <w:r w:rsidR="00E9503F" w:rsidRPr="00FF74B5">
        <w:rPr>
          <w:rFonts w:ascii="Arial" w:hAnsi="Arial" w:cs="Arial"/>
          <w:sz w:val="22"/>
          <w:szCs w:val="22"/>
          <w:lang w:val="en"/>
        </w:rPr>
        <w:t xml:space="preserve">an </w:t>
      </w:r>
      <w:r w:rsidRPr="00FF74B5">
        <w:rPr>
          <w:rFonts w:ascii="Arial" w:hAnsi="Arial" w:cs="Arial"/>
          <w:sz w:val="22"/>
          <w:szCs w:val="22"/>
          <w:lang w:val="en"/>
        </w:rPr>
        <w:t xml:space="preserve">area of focus for all UK </w:t>
      </w:r>
      <w:r w:rsidR="008E2C4B" w:rsidRPr="00FF74B5">
        <w:rPr>
          <w:rFonts w:ascii="Arial" w:hAnsi="Arial" w:cs="Arial"/>
          <w:sz w:val="22"/>
          <w:szCs w:val="22"/>
          <w:lang w:val="en"/>
        </w:rPr>
        <w:t>M</w:t>
      </w:r>
      <w:r w:rsidRPr="00FF74B5">
        <w:rPr>
          <w:rFonts w:ascii="Arial" w:hAnsi="Arial" w:cs="Arial"/>
          <w:sz w:val="22"/>
          <w:szCs w:val="22"/>
          <w:lang w:val="en"/>
        </w:rPr>
        <w:t xml:space="preserve">anagement </w:t>
      </w:r>
      <w:r w:rsidR="008E2C4B" w:rsidRPr="00FF74B5">
        <w:rPr>
          <w:rFonts w:ascii="Arial" w:hAnsi="Arial" w:cs="Arial"/>
          <w:sz w:val="22"/>
          <w:szCs w:val="22"/>
          <w:lang w:val="en"/>
        </w:rPr>
        <w:t>T</w:t>
      </w:r>
      <w:r w:rsidRPr="00FF74B5">
        <w:rPr>
          <w:rFonts w:ascii="Arial" w:hAnsi="Arial" w:cs="Arial"/>
          <w:sz w:val="22"/>
          <w:szCs w:val="22"/>
          <w:lang w:val="en"/>
        </w:rPr>
        <w:t>eams</w:t>
      </w:r>
      <w:r w:rsidR="004D6D5A" w:rsidRPr="00FF74B5">
        <w:rPr>
          <w:rFonts w:ascii="Arial" w:hAnsi="Arial" w:cs="Arial"/>
          <w:sz w:val="22"/>
          <w:szCs w:val="22"/>
          <w:lang w:val="en"/>
        </w:rPr>
        <w:t xml:space="preserve">. We have </w:t>
      </w:r>
      <w:r w:rsidR="00BD72BC" w:rsidRPr="00FF74B5">
        <w:rPr>
          <w:rFonts w:ascii="Arial" w:hAnsi="Arial" w:cs="Arial"/>
          <w:sz w:val="22"/>
          <w:szCs w:val="22"/>
          <w:lang w:val="en"/>
        </w:rPr>
        <w:t>implemented</w:t>
      </w:r>
      <w:r w:rsidR="004D6D5A" w:rsidRPr="00FF74B5">
        <w:rPr>
          <w:rFonts w:ascii="Arial" w:hAnsi="Arial" w:cs="Arial"/>
          <w:sz w:val="22"/>
          <w:szCs w:val="22"/>
          <w:lang w:val="en"/>
        </w:rPr>
        <w:t xml:space="preserve"> initiatives to </w:t>
      </w:r>
      <w:r w:rsidR="00AB5CEC" w:rsidRPr="00FF74B5">
        <w:rPr>
          <w:rFonts w:ascii="Arial" w:hAnsi="Arial" w:cs="Arial"/>
          <w:sz w:val="22"/>
          <w:szCs w:val="22"/>
          <w:lang w:val="en"/>
        </w:rPr>
        <w:t>seek</w:t>
      </w:r>
      <w:r w:rsidR="00A56477" w:rsidRPr="00FF74B5">
        <w:rPr>
          <w:rFonts w:ascii="Arial" w:hAnsi="Arial" w:cs="Arial"/>
          <w:sz w:val="22"/>
          <w:szCs w:val="22"/>
          <w:lang w:val="en"/>
        </w:rPr>
        <w:t xml:space="preserve"> to</w:t>
      </w:r>
      <w:r w:rsidR="00AB5CEC" w:rsidRPr="00FF74B5">
        <w:rPr>
          <w:rFonts w:ascii="Arial" w:hAnsi="Arial" w:cs="Arial"/>
          <w:sz w:val="22"/>
          <w:szCs w:val="22"/>
          <w:lang w:val="en"/>
        </w:rPr>
        <w:t xml:space="preserve"> address these imbalances where they exi</w:t>
      </w:r>
      <w:r w:rsidR="00ED3E46" w:rsidRPr="00FF74B5">
        <w:rPr>
          <w:rFonts w:ascii="Arial" w:hAnsi="Arial" w:cs="Arial"/>
          <w:sz w:val="22"/>
          <w:szCs w:val="22"/>
          <w:lang w:val="en"/>
        </w:rPr>
        <w:t>st</w:t>
      </w:r>
      <w:r w:rsidR="00FF58A7" w:rsidRPr="00FF74B5">
        <w:rPr>
          <w:rFonts w:ascii="Arial" w:hAnsi="Arial" w:cs="Arial"/>
          <w:sz w:val="22"/>
          <w:szCs w:val="22"/>
          <w:lang w:val="en"/>
        </w:rPr>
        <w:t>. Equally</w:t>
      </w:r>
      <w:r w:rsidR="00005DF4" w:rsidRPr="00FF74B5">
        <w:rPr>
          <w:rFonts w:ascii="Arial" w:hAnsi="Arial" w:cs="Arial"/>
          <w:sz w:val="22"/>
          <w:szCs w:val="22"/>
          <w:lang w:val="en"/>
        </w:rPr>
        <w:t>,</w:t>
      </w:r>
      <w:r w:rsidR="00FF58A7" w:rsidRPr="00FF74B5">
        <w:rPr>
          <w:rFonts w:ascii="Arial" w:hAnsi="Arial" w:cs="Arial"/>
          <w:sz w:val="22"/>
          <w:szCs w:val="22"/>
          <w:lang w:val="en"/>
        </w:rPr>
        <w:t xml:space="preserve"> we</w:t>
      </w:r>
      <w:r w:rsidR="00AB5CEC" w:rsidRPr="00FF74B5">
        <w:rPr>
          <w:rFonts w:ascii="Arial" w:hAnsi="Arial" w:cs="Arial"/>
          <w:sz w:val="22"/>
          <w:szCs w:val="22"/>
          <w:lang w:val="en"/>
        </w:rPr>
        <w:t xml:space="preserve"> acknowledge</w:t>
      </w:r>
      <w:r w:rsidR="00FF58A7" w:rsidRPr="00FF74B5">
        <w:rPr>
          <w:rFonts w:ascii="Arial" w:hAnsi="Arial" w:cs="Arial"/>
          <w:sz w:val="22"/>
          <w:szCs w:val="22"/>
          <w:lang w:val="en"/>
        </w:rPr>
        <w:t xml:space="preserve"> that </w:t>
      </w:r>
      <w:r w:rsidR="0091264C" w:rsidRPr="00FF74B5">
        <w:rPr>
          <w:rFonts w:ascii="Arial" w:hAnsi="Arial" w:cs="Arial"/>
          <w:sz w:val="22"/>
          <w:szCs w:val="22"/>
          <w:lang w:val="en"/>
        </w:rPr>
        <w:t>real and long</w:t>
      </w:r>
      <w:r w:rsidR="00A56477" w:rsidRPr="00FF74B5">
        <w:rPr>
          <w:rFonts w:ascii="Arial" w:hAnsi="Arial" w:cs="Arial"/>
          <w:sz w:val="22"/>
          <w:szCs w:val="22"/>
          <w:lang w:val="en"/>
        </w:rPr>
        <w:t>-</w:t>
      </w:r>
      <w:r w:rsidR="0091264C" w:rsidRPr="00FF74B5">
        <w:rPr>
          <w:rFonts w:ascii="Arial" w:hAnsi="Arial" w:cs="Arial"/>
          <w:sz w:val="22"/>
          <w:szCs w:val="22"/>
          <w:lang w:val="en"/>
        </w:rPr>
        <w:t>term</w:t>
      </w:r>
      <w:r w:rsidR="00005DF4" w:rsidRPr="00FF74B5">
        <w:rPr>
          <w:rFonts w:ascii="Arial" w:hAnsi="Arial" w:cs="Arial"/>
          <w:sz w:val="22"/>
          <w:szCs w:val="22"/>
          <w:lang w:val="en"/>
        </w:rPr>
        <w:t xml:space="preserve"> difference to the current gender pay gap will</w:t>
      </w:r>
      <w:r w:rsidR="00064F9A" w:rsidRPr="00FF74B5">
        <w:rPr>
          <w:rFonts w:ascii="Arial" w:hAnsi="Arial" w:cs="Arial"/>
          <w:sz w:val="22"/>
          <w:szCs w:val="22"/>
          <w:lang w:val="en"/>
        </w:rPr>
        <w:t xml:space="preserve"> take time and</w:t>
      </w:r>
      <w:r w:rsidR="00005DF4" w:rsidRPr="00FF74B5">
        <w:rPr>
          <w:rFonts w:ascii="Arial" w:hAnsi="Arial" w:cs="Arial"/>
          <w:sz w:val="22"/>
          <w:szCs w:val="22"/>
          <w:lang w:val="en"/>
        </w:rPr>
        <w:t xml:space="preserve"> as a company, we remain</w:t>
      </w:r>
      <w:r w:rsidR="00064F9A" w:rsidRPr="00FF74B5">
        <w:rPr>
          <w:rFonts w:ascii="Arial" w:hAnsi="Arial" w:cs="Arial"/>
          <w:sz w:val="22"/>
          <w:szCs w:val="22"/>
          <w:lang w:val="en"/>
        </w:rPr>
        <w:t xml:space="preserve"> </w:t>
      </w:r>
      <w:r w:rsidR="00005DF4" w:rsidRPr="00FF74B5">
        <w:rPr>
          <w:rFonts w:ascii="Arial" w:hAnsi="Arial" w:cs="Arial"/>
          <w:sz w:val="22"/>
          <w:szCs w:val="22"/>
          <w:lang w:val="en"/>
        </w:rPr>
        <w:t>c</w:t>
      </w:r>
      <w:r w:rsidR="00064F9A" w:rsidRPr="00FF74B5">
        <w:rPr>
          <w:rFonts w:ascii="Arial" w:hAnsi="Arial" w:cs="Arial"/>
          <w:sz w:val="22"/>
          <w:szCs w:val="22"/>
          <w:lang w:val="en"/>
        </w:rPr>
        <w:t>ommitted to</w:t>
      </w:r>
      <w:r w:rsidR="00CA69C8" w:rsidRPr="00FF74B5">
        <w:rPr>
          <w:rFonts w:ascii="Arial" w:hAnsi="Arial" w:cs="Arial"/>
          <w:sz w:val="22"/>
          <w:szCs w:val="22"/>
          <w:lang w:val="en"/>
        </w:rPr>
        <w:t xml:space="preserve"> </w:t>
      </w:r>
      <w:r w:rsidR="00BD72BC" w:rsidRPr="00FF74B5">
        <w:rPr>
          <w:rFonts w:ascii="Arial" w:hAnsi="Arial" w:cs="Arial"/>
          <w:sz w:val="22"/>
          <w:szCs w:val="22"/>
          <w:lang w:val="en"/>
        </w:rPr>
        <w:t>continuing</w:t>
      </w:r>
      <w:r w:rsidR="00F47874" w:rsidRPr="00FF74B5">
        <w:rPr>
          <w:rFonts w:ascii="Arial" w:hAnsi="Arial" w:cs="Arial"/>
          <w:sz w:val="22"/>
          <w:szCs w:val="22"/>
          <w:lang w:val="en"/>
        </w:rPr>
        <w:t xml:space="preserve"> this journey.</w:t>
      </w:r>
      <w:r w:rsidR="00521126" w:rsidRPr="00FF74B5">
        <w:rPr>
          <w:rFonts w:ascii="Arial" w:hAnsi="Arial" w:cs="Arial"/>
          <w:sz w:val="22"/>
          <w:szCs w:val="22"/>
          <w:lang w:val="en"/>
        </w:rPr>
        <w:t xml:space="preserve"> </w:t>
      </w:r>
    </w:p>
    <w:bookmarkEnd w:id="0"/>
    <w:p w14:paraId="6963C765" w14:textId="3CCDCDA0" w:rsidR="00316946" w:rsidRPr="00FF74B5" w:rsidRDefault="00316946" w:rsidP="00FF74B5">
      <w:pPr>
        <w:pStyle w:val="NormalWeb"/>
        <w:jc w:val="both"/>
        <w:rPr>
          <w:rFonts w:ascii="Arial" w:hAnsi="Arial" w:cs="Arial"/>
          <w:b/>
          <w:sz w:val="22"/>
          <w:szCs w:val="22"/>
          <w:u w:val="single"/>
          <w:lang w:val="en"/>
        </w:rPr>
      </w:pPr>
      <w:r w:rsidRPr="00FF74B5">
        <w:rPr>
          <w:rFonts w:ascii="Arial" w:hAnsi="Arial" w:cs="Arial"/>
          <w:b/>
          <w:sz w:val="22"/>
          <w:szCs w:val="22"/>
          <w:u w:val="single"/>
          <w:lang w:val="en"/>
        </w:rPr>
        <w:t>Approach Taken</w:t>
      </w:r>
    </w:p>
    <w:p w14:paraId="6963C766" w14:textId="06C9B8F9" w:rsidR="00316946" w:rsidRPr="00FF74B5" w:rsidRDefault="00316946" w:rsidP="00FF74B5">
      <w:pPr>
        <w:pStyle w:val="NormalWeb"/>
        <w:jc w:val="both"/>
        <w:rPr>
          <w:rFonts w:ascii="Arial" w:hAnsi="Arial" w:cs="Arial"/>
          <w:sz w:val="22"/>
          <w:szCs w:val="22"/>
          <w:lang w:val="en"/>
        </w:rPr>
      </w:pPr>
      <w:r w:rsidRPr="00FF74B5">
        <w:rPr>
          <w:rFonts w:ascii="Arial" w:hAnsi="Arial" w:cs="Arial"/>
          <w:sz w:val="22"/>
          <w:szCs w:val="22"/>
          <w:lang w:val="en"/>
        </w:rPr>
        <w:t>Under the requirements specified by UK legislation, we are required to report on the legal entities within our Group which have over 250 ‘UK employees’ (as defined in accordance with that legislation). The data provided in this report is based upon the snapshot date of 5 April 20</w:t>
      </w:r>
      <w:r w:rsidR="009F4D15" w:rsidRPr="00FF74B5">
        <w:rPr>
          <w:rFonts w:ascii="Arial" w:hAnsi="Arial" w:cs="Arial"/>
          <w:sz w:val="22"/>
          <w:szCs w:val="22"/>
          <w:lang w:val="en"/>
        </w:rPr>
        <w:t>2</w:t>
      </w:r>
      <w:r w:rsidR="00D95631" w:rsidRPr="00FF74B5">
        <w:rPr>
          <w:rFonts w:ascii="Arial" w:hAnsi="Arial" w:cs="Arial"/>
          <w:sz w:val="22"/>
          <w:szCs w:val="22"/>
          <w:lang w:val="en"/>
        </w:rPr>
        <w:t>2</w:t>
      </w:r>
      <w:r w:rsidRPr="00FF74B5">
        <w:rPr>
          <w:rFonts w:ascii="Arial" w:hAnsi="Arial" w:cs="Arial"/>
          <w:sz w:val="22"/>
          <w:szCs w:val="22"/>
          <w:lang w:val="en"/>
        </w:rPr>
        <w:t>, and the 12-month reference period up to 5 April 20</w:t>
      </w:r>
      <w:r w:rsidR="004914F4" w:rsidRPr="00FF74B5">
        <w:rPr>
          <w:rFonts w:ascii="Arial" w:hAnsi="Arial" w:cs="Arial"/>
          <w:sz w:val="22"/>
          <w:szCs w:val="22"/>
          <w:lang w:val="en"/>
        </w:rPr>
        <w:t>2</w:t>
      </w:r>
      <w:r w:rsidR="00D95631" w:rsidRPr="00FF74B5">
        <w:rPr>
          <w:rFonts w:ascii="Arial" w:hAnsi="Arial" w:cs="Arial"/>
          <w:sz w:val="22"/>
          <w:szCs w:val="22"/>
          <w:lang w:val="en"/>
        </w:rPr>
        <w:t>2</w:t>
      </w:r>
      <w:r w:rsidRPr="00FF74B5">
        <w:rPr>
          <w:rFonts w:ascii="Arial" w:hAnsi="Arial" w:cs="Arial"/>
          <w:sz w:val="22"/>
          <w:szCs w:val="22"/>
          <w:lang w:val="en"/>
        </w:rPr>
        <w:t xml:space="preserve"> for the purpose of bonus analysis.</w:t>
      </w:r>
    </w:p>
    <w:p w14:paraId="6963C771" w14:textId="386C3197" w:rsidR="00316946" w:rsidRPr="00FF74B5" w:rsidRDefault="00A65CA5" w:rsidP="00FF74B5">
      <w:pPr>
        <w:pStyle w:val="NormalWeb"/>
        <w:jc w:val="both"/>
        <w:rPr>
          <w:rFonts w:ascii="Arial" w:hAnsi="Arial" w:cs="Arial"/>
          <w:b/>
          <w:sz w:val="22"/>
          <w:szCs w:val="22"/>
          <w:u w:val="single"/>
          <w:lang w:val="en-GB"/>
        </w:rPr>
      </w:pPr>
      <w:r w:rsidRPr="00FF74B5">
        <w:rPr>
          <w:rFonts w:ascii="Arial" w:hAnsi="Arial" w:cs="Arial"/>
          <w:b/>
          <w:sz w:val="22"/>
          <w:szCs w:val="22"/>
          <w:u w:val="single"/>
          <w:lang w:val="en-GB"/>
        </w:rPr>
        <w:t>S</w:t>
      </w:r>
      <w:r w:rsidR="00316946" w:rsidRPr="00FF74B5">
        <w:rPr>
          <w:rFonts w:ascii="Arial" w:hAnsi="Arial" w:cs="Arial"/>
          <w:b/>
          <w:sz w:val="22"/>
          <w:szCs w:val="22"/>
          <w:u w:val="single"/>
          <w:lang w:val="en-GB"/>
        </w:rPr>
        <w:t>tatutory Disclosure</w:t>
      </w:r>
    </w:p>
    <w:p w14:paraId="6963C772" w14:textId="20EAF0A4" w:rsidR="00316946" w:rsidRPr="00FF74B5" w:rsidRDefault="00316946" w:rsidP="00FF74B5">
      <w:pPr>
        <w:pStyle w:val="NormalWeb"/>
        <w:jc w:val="both"/>
        <w:rPr>
          <w:rFonts w:ascii="Arial" w:hAnsi="Arial" w:cs="Arial"/>
          <w:sz w:val="22"/>
          <w:szCs w:val="22"/>
          <w:lang w:val="en-GB"/>
        </w:rPr>
      </w:pPr>
      <w:r w:rsidRPr="00FF74B5">
        <w:rPr>
          <w:rFonts w:ascii="Arial" w:hAnsi="Arial" w:cs="Arial"/>
          <w:sz w:val="22"/>
          <w:szCs w:val="22"/>
          <w:lang w:val="en-GB"/>
        </w:rPr>
        <w:t>There are three legal entities within the AkzoNobel Group of companies which have over 250 UK employees (as defined in the legislation). These entities are Imperial Chemical  Industries Limited (trading as ICI Paints AkzoNobel) (</w:t>
      </w:r>
      <w:r w:rsidRPr="00FF74B5">
        <w:rPr>
          <w:rFonts w:ascii="Arial" w:hAnsi="Arial" w:cs="Arial"/>
          <w:b/>
          <w:sz w:val="22"/>
          <w:szCs w:val="22"/>
          <w:lang w:val="en-GB"/>
        </w:rPr>
        <w:t>ICI</w:t>
      </w:r>
      <w:r w:rsidRPr="00FF74B5">
        <w:rPr>
          <w:rFonts w:ascii="Arial" w:hAnsi="Arial" w:cs="Arial"/>
          <w:sz w:val="22"/>
          <w:szCs w:val="22"/>
          <w:lang w:val="en-GB"/>
        </w:rPr>
        <w:t>), International Paint Limited (</w:t>
      </w:r>
      <w:r w:rsidRPr="00FF74B5">
        <w:rPr>
          <w:rFonts w:ascii="Arial" w:hAnsi="Arial" w:cs="Arial"/>
          <w:b/>
          <w:sz w:val="22"/>
          <w:szCs w:val="22"/>
          <w:lang w:val="en-GB"/>
        </w:rPr>
        <w:t>IPL</w:t>
      </w:r>
      <w:r w:rsidRPr="00FF74B5">
        <w:rPr>
          <w:rFonts w:ascii="Arial" w:hAnsi="Arial" w:cs="Arial"/>
          <w:sz w:val="22"/>
          <w:szCs w:val="22"/>
          <w:lang w:val="en-GB"/>
        </w:rPr>
        <w:t>) and J.P. McDougall &amp; Co. Limited (</w:t>
      </w:r>
      <w:r w:rsidRPr="00FF74B5">
        <w:rPr>
          <w:rFonts w:ascii="Arial" w:hAnsi="Arial" w:cs="Arial"/>
          <w:b/>
          <w:sz w:val="22"/>
          <w:szCs w:val="22"/>
          <w:lang w:val="en-GB"/>
        </w:rPr>
        <w:t>JPM</w:t>
      </w:r>
      <w:r w:rsidRPr="00FF74B5">
        <w:rPr>
          <w:rFonts w:ascii="Arial" w:hAnsi="Arial" w:cs="Arial"/>
          <w:sz w:val="22"/>
          <w:szCs w:val="22"/>
          <w:lang w:val="en-GB"/>
        </w:rPr>
        <w:t xml:space="preserve">) </w:t>
      </w:r>
      <w:r w:rsidR="001843CC" w:rsidRPr="00FF74B5">
        <w:rPr>
          <w:rFonts w:ascii="Arial" w:hAnsi="Arial" w:cs="Arial"/>
          <w:sz w:val="22"/>
          <w:szCs w:val="22"/>
          <w:lang w:val="en-GB"/>
        </w:rPr>
        <w:t>The</w:t>
      </w:r>
      <w:r w:rsidRPr="00FF74B5">
        <w:rPr>
          <w:rFonts w:ascii="Arial" w:hAnsi="Arial" w:cs="Arial"/>
          <w:sz w:val="22"/>
          <w:szCs w:val="22"/>
          <w:lang w:val="en-GB"/>
        </w:rPr>
        <w:t xml:space="preserve"> figures for </w:t>
      </w:r>
      <w:r w:rsidR="001843CC" w:rsidRPr="00FF74B5">
        <w:rPr>
          <w:rFonts w:ascii="Arial" w:hAnsi="Arial" w:cs="Arial"/>
          <w:sz w:val="22"/>
          <w:szCs w:val="22"/>
          <w:lang w:val="en-GB"/>
        </w:rPr>
        <w:t>ICI</w:t>
      </w:r>
      <w:r w:rsidRPr="00FF74B5">
        <w:rPr>
          <w:rFonts w:ascii="Arial" w:hAnsi="Arial" w:cs="Arial"/>
          <w:sz w:val="22"/>
          <w:szCs w:val="22"/>
          <w:lang w:val="en-GB"/>
        </w:rPr>
        <w:t xml:space="preserve"> are as follows:</w:t>
      </w:r>
    </w:p>
    <w:p w14:paraId="6963C773" w14:textId="77777777" w:rsidR="00316946" w:rsidRPr="00FF74B5" w:rsidRDefault="00316946" w:rsidP="00316946">
      <w:pPr>
        <w:pStyle w:val="NormalWeb"/>
        <w:rPr>
          <w:rFonts w:ascii="Arial" w:hAnsi="Arial" w:cs="Arial"/>
          <w:b/>
          <w:u w:val="single"/>
          <w:lang w:val="en-GB"/>
        </w:rPr>
      </w:pPr>
      <w:r w:rsidRPr="00FF74B5">
        <w:rPr>
          <w:rFonts w:ascii="Arial" w:hAnsi="Arial" w:cs="Arial"/>
          <w:b/>
          <w:u w:val="single"/>
          <w:lang w:val="en-GB"/>
        </w:rPr>
        <w:t>Mean Gender Pay Gap</w:t>
      </w:r>
    </w:p>
    <w:p w14:paraId="6963C774" w14:textId="480DF629" w:rsidR="00316946" w:rsidRPr="00FF74B5" w:rsidRDefault="00316946" w:rsidP="00316946">
      <w:pPr>
        <w:pStyle w:val="NormalWeb"/>
        <w:spacing w:before="0" w:beforeAutospacing="0" w:after="0" w:afterAutospacing="0"/>
        <w:rPr>
          <w:rFonts w:ascii="Arial" w:hAnsi="Arial" w:cs="Arial"/>
          <w:i/>
          <w:lang w:val="en-GB"/>
        </w:rPr>
      </w:pPr>
      <w:r w:rsidRPr="00FF74B5">
        <w:rPr>
          <w:rFonts w:ascii="Arial" w:hAnsi="Arial" w:cs="Arial"/>
          <w:lang w:val="en-GB"/>
        </w:rPr>
        <w:t xml:space="preserve">ICI </w:t>
      </w:r>
      <w:r w:rsidRPr="00FF74B5">
        <w:rPr>
          <w:rFonts w:ascii="Arial" w:hAnsi="Arial" w:cs="Arial"/>
          <w:lang w:val="en-GB"/>
        </w:rPr>
        <w:tab/>
      </w:r>
      <w:r w:rsidRPr="00FF74B5">
        <w:rPr>
          <w:rFonts w:ascii="Arial" w:hAnsi="Arial" w:cs="Arial"/>
          <w:lang w:val="en-GB"/>
        </w:rPr>
        <w:tab/>
      </w:r>
      <w:r w:rsidR="00D95631" w:rsidRPr="00FF74B5">
        <w:rPr>
          <w:rFonts w:ascii="Arial" w:hAnsi="Arial" w:cs="Arial"/>
          <w:lang w:val="en-GB"/>
        </w:rPr>
        <w:t>-5.22</w:t>
      </w:r>
      <w:r w:rsidRPr="00FF74B5">
        <w:rPr>
          <w:rFonts w:ascii="Arial" w:hAnsi="Arial" w:cs="Arial"/>
          <w:lang w:val="en-GB"/>
        </w:rPr>
        <w:t>%</w:t>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i/>
          <w:lang w:val="en-GB"/>
        </w:rPr>
        <w:t>(20</w:t>
      </w:r>
      <w:r w:rsidR="00D30B3C" w:rsidRPr="00FF74B5">
        <w:rPr>
          <w:rFonts w:ascii="Arial" w:hAnsi="Arial" w:cs="Arial"/>
          <w:i/>
          <w:lang w:val="en-GB"/>
        </w:rPr>
        <w:t>2</w:t>
      </w:r>
      <w:r w:rsidR="00D95631" w:rsidRPr="00FF74B5">
        <w:rPr>
          <w:rFonts w:ascii="Arial" w:hAnsi="Arial" w:cs="Arial"/>
          <w:i/>
          <w:lang w:val="en-GB"/>
        </w:rPr>
        <w:t>1</w:t>
      </w:r>
      <w:r w:rsidR="003A1B8F" w:rsidRPr="00FF74B5">
        <w:rPr>
          <w:rFonts w:ascii="Arial" w:hAnsi="Arial" w:cs="Arial"/>
          <w:i/>
          <w:lang w:val="en-GB"/>
        </w:rPr>
        <w:t xml:space="preserve"> : </w:t>
      </w:r>
      <w:r w:rsidR="00D95631" w:rsidRPr="00FF74B5">
        <w:rPr>
          <w:rFonts w:ascii="Arial" w:hAnsi="Arial" w:cs="Arial"/>
          <w:i/>
          <w:lang w:val="en-GB"/>
        </w:rPr>
        <w:t>1.36</w:t>
      </w:r>
      <w:r w:rsidR="003A1B8F" w:rsidRPr="00FF74B5">
        <w:rPr>
          <w:rFonts w:ascii="Arial" w:hAnsi="Arial" w:cs="Arial"/>
          <w:i/>
          <w:lang w:val="en-GB"/>
        </w:rPr>
        <w:t>%)</w:t>
      </w:r>
    </w:p>
    <w:p w14:paraId="6963C777" w14:textId="77777777" w:rsidR="00316946" w:rsidRPr="00FF74B5" w:rsidRDefault="00316946" w:rsidP="00316946">
      <w:pPr>
        <w:pStyle w:val="NormalWeb"/>
        <w:spacing w:before="0" w:beforeAutospacing="0" w:after="0" w:afterAutospacing="0"/>
        <w:rPr>
          <w:rFonts w:ascii="Arial" w:hAnsi="Arial" w:cs="Arial"/>
          <w:i/>
          <w:lang w:val="en-GB"/>
        </w:rPr>
      </w:pPr>
    </w:p>
    <w:p w14:paraId="6963C778" w14:textId="77777777" w:rsidR="00316946" w:rsidRPr="00FF74B5" w:rsidRDefault="00316946" w:rsidP="00316946">
      <w:pPr>
        <w:pStyle w:val="NormalWeb"/>
        <w:spacing w:before="0" w:beforeAutospacing="0" w:after="0" w:afterAutospacing="0"/>
        <w:rPr>
          <w:rFonts w:ascii="Arial" w:hAnsi="Arial" w:cs="Arial"/>
          <w:b/>
          <w:u w:val="single"/>
          <w:lang w:val="en-GB"/>
        </w:rPr>
      </w:pPr>
      <w:r w:rsidRPr="00FF74B5">
        <w:rPr>
          <w:rFonts w:ascii="Arial" w:hAnsi="Arial" w:cs="Arial"/>
          <w:b/>
          <w:u w:val="single"/>
          <w:lang w:val="en-GB"/>
        </w:rPr>
        <w:t>Median Gender Pay Gap</w:t>
      </w:r>
    </w:p>
    <w:p w14:paraId="6963C779" w14:textId="77777777" w:rsidR="00316946" w:rsidRPr="00FF74B5" w:rsidRDefault="00316946" w:rsidP="00316946">
      <w:pPr>
        <w:pStyle w:val="NormalWeb"/>
        <w:spacing w:before="0" w:beforeAutospacing="0" w:after="0" w:afterAutospacing="0"/>
        <w:rPr>
          <w:rFonts w:ascii="Arial" w:hAnsi="Arial" w:cs="Arial"/>
          <w:b/>
          <w:u w:val="single"/>
          <w:lang w:val="en-GB"/>
        </w:rPr>
      </w:pPr>
    </w:p>
    <w:p w14:paraId="6963C77A" w14:textId="3E473814" w:rsidR="00316946" w:rsidRPr="00FF74B5" w:rsidRDefault="00316946" w:rsidP="00316946">
      <w:pPr>
        <w:pStyle w:val="NormalWeb"/>
        <w:spacing w:before="0" w:beforeAutospacing="0" w:after="0" w:afterAutospacing="0"/>
        <w:rPr>
          <w:rFonts w:ascii="Arial" w:hAnsi="Arial" w:cs="Arial"/>
          <w:i/>
          <w:lang w:val="en-GB"/>
        </w:rPr>
      </w:pPr>
      <w:r w:rsidRPr="00FF74B5">
        <w:rPr>
          <w:rFonts w:ascii="Arial" w:hAnsi="Arial" w:cs="Arial"/>
          <w:lang w:val="en-GB"/>
        </w:rPr>
        <w:t>ICI</w:t>
      </w:r>
      <w:r w:rsidRPr="00FF74B5">
        <w:rPr>
          <w:rFonts w:ascii="Arial" w:hAnsi="Arial" w:cs="Arial"/>
          <w:lang w:val="en-GB"/>
        </w:rPr>
        <w:tab/>
      </w:r>
      <w:r w:rsidRPr="00FF74B5">
        <w:rPr>
          <w:rFonts w:ascii="Arial" w:hAnsi="Arial" w:cs="Arial"/>
          <w:lang w:val="en-GB"/>
        </w:rPr>
        <w:tab/>
      </w:r>
      <w:r w:rsidR="00D30B3C" w:rsidRPr="00FF74B5">
        <w:rPr>
          <w:rFonts w:ascii="Arial" w:hAnsi="Arial" w:cs="Arial"/>
          <w:lang w:val="en-GB"/>
        </w:rPr>
        <w:t>-</w:t>
      </w:r>
      <w:r w:rsidR="00D95631" w:rsidRPr="00FF74B5">
        <w:rPr>
          <w:rFonts w:ascii="Arial" w:hAnsi="Arial" w:cs="Arial"/>
          <w:lang w:val="en-GB"/>
        </w:rPr>
        <w:t>11.6%</w:t>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i/>
          <w:lang w:val="en-GB"/>
        </w:rPr>
        <w:t>(20</w:t>
      </w:r>
      <w:r w:rsidR="00D30B3C" w:rsidRPr="00FF74B5">
        <w:rPr>
          <w:rFonts w:ascii="Arial" w:hAnsi="Arial" w:cs="Arial"/>
          <w:i/>
          <w:lang w:val="en-GB"/>
        </w:rPr>
        <w:t>2</w:t>
      </w:r>
      <w:r w:rsidR="00D95631" w:rsidRPr="00FF74B5">
        <w:rPr>
          <w:rFonts w:ascii="Arial" w:hAnsi="Arial" w:cs="Arial"/>
          <w:i/>
          <w:lang w:val="en-GB"/>
        </w:rPr>
        <w:t>1</w:t>
      </w:r>
      <w:r w:rsidR="003A1B8F" w:rsidRPr="00FF74B5">
        <w:rPr>
          <w:rFonts w:ascii="Arial" w:hAnsi="Arial" w:cs="Arial"/>
          <w:i/>
          <w:lang w:val="en-GB"/>
        </w:rPr>
        <w:t xml:space="preserve"> : </w:t>
      </w:r>
      <w:r w:rsidR="00D30B3C" w:rsidRPr="00FF74B5">
        <w:rPr>
          <w:rFonts w:ascii="Arial" w:hAnsi="Arial" w:cs="Arial"/>
          <w:i/>
          <w:lang w:val="en-GB"/>
        </w:rPr>
        <w:t>-</w:t>
      </w:r>
      <w:r w:rsidR="00D95631" w:rsidRPr="00FF74B5">
        <w:rPr>
          <w:rFonts w:ascii="Arial" w:hAnsi="Arial" w:cs="Arial"/>
          <w:i/>
          <w:lang w:val="en-GB"/>
        </w:rPr>
        <w:t>5.9</w:t>
      </w:r>
      <w:r w:rsidR="003A1B8F" w:rsidRPr="00FF74B5">
        <w:rPr>
          <w:rFonts w:ascii="Arial" w:hAnsi="Arial" w:cs="Arial"/>
          <w:i/>
          <w:lang w:val="en-GB"/>
        </w:rPr>
        <w:t>%)</w:t>
      </w:r>
    </w:p>
    <w:p w14:paraId="43E36058" w14:textId="70940E01" w:rsidR="00C02CD0" w:rsidRPr="00FF74B5" w:rsidRDefault="00F61F98" w:rsidP="00F61F98">
      <w:pPr>
        <w:pStyle w:val="NormalWeb"/>
        <w:tabs>
          <w:tab w:val="left" w:pos="2325"/>
        </w:tabs>
        <w:spacing w:before="0" w:beforeAutospacing="0" w:after="0" w:afterAutospacing="0"/>
        <w:rPr>
          <w:rFonts w:ascii="Arial" w:hAnsi="Arial" w:cs="Arial"/>
          <w:lang w:val="en-GB"/>
        </w:rPr>
      </w:pPr>
      <w:r w:rsidRPr="00FF74B5">
        <w:rPr>
          <w:rFonts w:ascii="Arial" w:hAnsi="Arial" w:cs="Arial"/>
          <w:lang w:val="en-GB"/>
        </w:rPr>
        <w:tab/>
      </w:r>
    </w:p>
    <w:p w14:paraId="6963C77E" w14:textId="77777777" w:rsidR="00316946" w:rsidRPr="00FF74B5" w:rsidRDefault="00316946" w:rsidP="00316946">
      <w:pPr>
        <w:pStyle w:val="NormalWeb"/>
        <w:spacing w:before="0" w:beforeAutospacing="0" w:after="0" w:afterAutospacing="0"/>
        <w:rPr>
          <w:rFonts w:ascii="Arial" w:hAnsi="Arial" w:cs="Arial"/>
          <w:b/>
          <w:u w:val="single"/>
          <w:lang w:val="en-GB"/>
        </w:rPr>
      </w:pPr>
      <w:r w:rsidRPr="00FF74B5">
        <w:rPr>
          <w:rFonts w:ascii="Arial" w:hAnsi="Arial" w:cs="Arial"/>
          <w:b/>
          <w:u w:val="single"/>
          <w:lang w:val="en-GB"/>
        </w:rPr>
        <w:t>Mean Gender Bonus Pay Gap</w:t>
      </w:r>
    </w:p>
    <w:p w14:paraId="6963C77F" w14:textId="77777777" w:rsidR="00316946" w:rsidRPr="00FF74B5" w:rsidRDefault="00316946" w:rsidP="00316946">
      <w:pPr>
        <w:pStyle w:val="NormalWeb"/>
        <w:spacing w:before="0" w:beforeAutospacing="0" w:after="0" w:afterAutospacing="0"/>
        <w:rPr>
          <w:rFonts w:ascii="Arial" w:hAnsi="Arial" w:cs="Arial"/>
          <w:b/>
          <w:u w:val="single"/>
          <w:lang w:val="en-GB"/>
        </w:rPr>
      </w:pPr>
    </w:p>
    <w:p w14:paraId="6963C780" w14:textId="46DB12E5" w:rsidR="00316946" w:rsidRPr="00FF74B5" w:rsidRDefault="00316946" w:rsidP="00316946">
      <w:pPr>
        <w:pStyle w:val="NormalWeb"/>
        <w:spacing w:before="0" w:beforeAutospacing="0" w:after="0" w:afterAutospacing="0"/>
        <w:rPr>
          <w:rFonts w:ascii="Arial" w:hAnsi="Arial" w:cs="Arial"/>
          <w:lang w:val="en-GB"/>
        </w:rPr>
      </w:pPr>
      <w:r w:rsidRPr="00FF74B5">
        <w:rPr>
          <w:rFonts w:ascii="Arial" w:hAnsi="Arial" w:cs="Arial"/>
          <w:lang w:val="en-GB"/>
        </w:rPr>
        <w:t>ICI</w:t>
      </w:r>
      <w:r w:rsidRPr="00FF74B5">
        <w:rPr>
          <w:rFonts w:ascii="Arial" w:hAnsi="Arial" w:cs="Arial"/>
          <w:lang w:val="en-GB"/>
        </w:rPr>
        <w:tab/>
      </w:r>
      <w:r w:rsidRPr="00FF74B5">
        <w:rPr>
          <w:rFonts w:ascii="Arial" w:hAnsi="Arial" w:cs="Arial"/>
          <w:lang w:val="en-GB"/>
        </w:rPr>
        <w:tab/>
      </w:r>
      <w:r w:rsidR="00D95631" w:rsidRPr="00FF74B5">
        <w:rPr>
          <w:rFonts w:ascii="Arial" w:hAnsi="Arial" w:cs="Arial"/>
          <w:lang w:val="en-GB"/>
        </w:rPr>
        <w:t>11.2</w:t>
      </w:r>
      <w:r w:rsidRPr="00FF74B5">
        <w:rPr>
          <w:rFonts w:ascii="Arial" w:hAnsi="Arial" w:cs="Arial"/>
          <w:lang w:val="en-GB"/>
        </w:rPr>
        <w:t>%</w:t>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i/>
          <w:lang w:val="en-GB"/>
        </w:rPr>
        <w:tab/>
      </w:r>
      <w:r w:rsidR="00D95631" w:rsidRPr="00FF74B5">
        <w:rPr>
          <w:rFonts w:ascii="Arial" w:hAnsi="Arial" w:cs="Arial"/>
          <w:i/>
          <w:lang w:val="en-GB"/>
        </w:rPr>
        <w:tab/>
      </w:r>
      <w:r w:rsidR="003A1B8F" w:rsidRPr="00FF74B5">
        <w:rPr>
          <w:rFonts w:ascii="Arial" w:hAnsi="Arial" w:cs="Arial"/>
          <w:i/>
          <w:lang w:val="en-GB"/>
        </w:rPr>
        <w:t>(20</w:t>
      </w:r>
      <w:r w:rsidR="00D30B3C" w:rsidRPr="00FF74B5">
        <w:rPr>
          <w:rFonts w:ascii="Arial" w:hAnsi="Arial" w:cs="Arial"/>
          <w:i/>
          <w:lang w:val="en-GB"/>
        </w:rPr>
        <w:t>2</w:t>
      </w:r>
      <w:r w:rsidR="00D95631" w:rsidRPr="00FF74B5">
        <w:rPr>
          <w:rFonts w:ascii="Arial" w:hAnsi="Arial" w:cs="Arial"/>
          <w:i/>
          <w:lang w:val="en-GB"/>
        </w:rPr>
        <w:t>1</w:t>
      </w:r>
      <w:r w:rsidR="003A1B8F" w:rsidRPr="00FF74B5">
        <w:rPr>
          <w:rFonts w:ascii="Arial" w:hAnsi="Arial" w:cs="Arial"/>
          <w:i/>
          <w:lang w:val="en-GB"/>
        </w:rPr>
        <w:t xml:space="preserve"> : </w:t>
      </w:r>
      <w:r w:rsidR="00D30B3C" w:rsidRPr="00FF74B5">
        <w:rPr>
          <w:rFonts w:ascii="Arial" w:hAnsi="Arial" w:cs="Arial"/>
          <w:i/>
          <w:lang w:val="en-GB"/>
        </w:rPr>
        <w:t>31.</w:t>
      </w:r>
      <w:r w:rsidR="00D95631" w:rsidRPr="00FF74B5">
        <w:rPr>
          <w:rFonts w:ascii="Arial" w:hAnsi="Arial" w:cs="Arial"/>
          <w:i/>
          <w:lang w:val="en-GB"/>
        </w:rPr>
        <w:t>5</w:t>
      </w:r>
      <w:r w:rsidR="003A1B8F" w:rsidRPr="00FF74B5">
        <w:rPr>
          <w:rFonts w:ascii="Arial" w:hAnsi="Arial" w:cs="Arial"/>
          <w:i/>
          <w:lang w:val="en-GB"/>
        </w:rPr>
        <w:t>%)</w:t>
      </w:r>
    </w:p>
    <w:p w14:paraId="2E5C1831" w14:textId="77777777" w:rsidR="00E64AEB" w:rsidRPr="00FF74B5" w:rsidRDefault="00E64AEB" w:rsidP="00316946">
      <w:pPr>
        <w:pStyle w:val="NormalWeb"/>
        <w:spacing w:before="0" w:beforeAutospacing="0" w:after="0" w:afterAutospacing="0"/>
        <w:rPr>
          <w:rFonts w:ascii="Arial" w:hAnsi="Arial" w:cs="Arial"/>
          <w:b/>
          <w:u w:val="single"/>
          <w:lang w:val="en-GB"/>
        </w:rPr>
      </w:pPr>
    </w:p>
    <w:p w14:paraId="6963C784" w14:textId="0D526E3F" w:rsidR="00316946" w:rsidRPr="00FF74B5" w:rsidRDefault="00316946" w:rsidP="00316946">
      <w:pPr>
        <w:pStyle w:val="NormalWeb"/>
        <w:spacing w:before="0" w:beforeAutospacing="0" w:after="0" w:afterAutospacing="0"/>
        <w:rPr>
          <w:rFonts w:ascii="Arial" w:hAnsi="Arial" w:cs="Arial"/>
          <w:b/>
          <w:u w:val="single"/>
          <w:lang w:val="en-GB"/>
        </w:rPr>
      </w:pPr>
      <w:r w:rsidRPr="00FF74B5">
        <w:rPr>
          <w:rFonts w:ascii="Arial" w:hAnsi="Arial" w:cs="Arial"/>
          <w:b/>
          <w:u w:val="single"/>
          <w:lang w:val="en-GB"/>
        </w:rPr>
        <w:t>Median Gender Bonus Pay Gap</w:t>
      </w:r>
    </w:p>
    <w:p w14:paraId="6963C785" w14:textId="77777777" w:rsidR="00316946" w:rsidRPr="00FF74B5" w:rsidRDefault="00316946" w:rsidP="00316946">
      <w:pPr>
        <w:pStyle w:val="NormalWeb"/>
        <w:spacing w:before="0" w:beforeAutospacing="0" w:after="0" w:afterAutospacing="0"/>
        <w:rPr>
          <w:rFonts w:ascii="Arial" w:hAnsi="Arial" w:cs="Arial"/>
          <w:b/>
          <w:u w:val="single"/>
          <w:lang w:val="en-GB"/>
        </w:rPr>
      </w:pPr>
    </w:p>
    <w:p w14:paraId="6963C786" w14:textId="5D70B70D" w:rsidR="00316946" w:rsidRPr="00FF74B5" w:rsidRDefault="00316946" w:rsidP="00316946">
      <w:pPr>
        <w:pStyle w:val="NormalWeb"/>
        <w:spacing w:before="0" w:beforeAutospacing="0" w:after="0" w:afterAutospacing="0"/>
        <w:rPr>
          <w:rFonts w:ascii="Arial" w:hAnsi="Arial" w:cs="Arial"/>
          <w:lang w:val="en-GB"/>
        </w:rPr>
      </w:pPr>
      <w:r w:rsidRPr="00FF74B5">
        <w:rPr>
          <w:rFonts w:ascii="Arial" w:hAnsi="Arial" w:cs="Arial"/>
          <w:lang w:val="en-GB"/>
        </w:rPr>
        <w:t>ICI</w:t>
      </w:r>
      <w:r w:rsidRPr="00FF74B5">
        <w:rPr>
          <w:rFonts w:ascii="Arial" w:hAnsi="Arial" w:cs="Arial"/>
          <w:lang w:val="en-GB"/>
        </w:rPr>
        <w:tab/>
      </w:r>
      <w:r w:rsidRPr="00FF74B5">
        <w:rPr>
          <w:rFonts w:ascii="Arial" w:hAnsi="Arial" w:cs="Arial"/>
          <w:lang w:val="en-GB"/>
        </w:rPr>
        <w:tab/>
      </w:r>
      <w:r w:rsidR="00D95631" w:rsidRPr="00FF74B5">
        <w:rPr>
          <w:rFonts w:ascii="Arial" w:hAnsi="Arial" w:cs="Arial"/>
          <w:lang w:val="en-GB"/>
        </w:rPr>
        <w:t>19.8</w:t>
      </w:r>
      <w:r w:rsidRPr="00FF74B5">
        <w:rPr>
          <w:rFonts w:ascii="Arial" w:hAnsi="Arial" w:cs="Arial"/>
          <w:lang w:val="en-GB"/>
        </w:rPr>
        <w:t>%</w:t>
      </w:r>
      <w:r w:rsidR="003A1B8F" w:rsidRPr="00FF74B5">
        <w:rPr>
          <w:rFonts w:ascii="Arial" w:hAnsi="Arial" w:cs="Arial"/>
          <w:lang w:val="en-GB"/>
        </w:rPr>
        <w:tab/>
      </w:r>
      <w:r w:rsidR="003A1B8F" w:rsidRPr="00FF74B5">
        <w:rPr>
          <w:rFonts w:ascii="Arial" w:hAnsi="Arial" w:cs="Arial"/>
          <w:lang w:val="en-GB"/>
        </w:rPr>
        <w:tab/>
      </w:r>
      <w:r w:rsidR="003A1B8F" w:rsidRPr="00FF74B5">
        <w:rPr>
          <w:rFonts w:ascii="Arial" w:hAnsi="Arial" w:cs="Arial"/>
          <w:lang w:val="en-GB"/>
        </w:rPr>
        <w:tab/>
      </w:r>
      <w:r w:rsidR="00D95631" w:rsidRPr="00FF74B5">
        <w:rPr>
          <w:rFonts w:ascii="Arial" w:hAnsi="Arial" w:cs="Arial"/>
          <w:lang w:val="en-GB"/>
        </w:rPr>
        <w:tab/>
      </w:r>
      <w:r w:rsidR="003A1B8F" w:rsidRPr="00FF74B5">
        <w:rPr>
          <w:rFonts w:ascii="Arial" w:hAnsi="Arial" w:cs="Arial"/>
          <w:i/>
          <w:lang w:val="en-GB"/>
        </w:rPr>
        <w:t>(20</w:t>
      </w:r>
      <w:r w:rsidR="00D30B3C" w:rsidRPr="00FF74B5">
        <w:rPr>
          <w:rFonts w:ascii="Arial" w:hAnsi="Arial" w:cs="Arial"/>
          <w:i/>
          <w:lang w:val="en-GB"/>
        </w:rPr>
        <w:t>2</w:t>
      </w:r>
      <w:r w:rsidR="00D95631" w:rsidRPr="00FF74B5">
        <w:rPr>
          <w:rFonts w:ascii="Arial" w:hAnsi="Arial" w:cs="Arial"/>
          <w:i/>
          <w:lang w:val="en-GB"/>
        </w:rPr>
        <w:t>1</w:t>
      </w:r>
      <w:r w:rsidR="003A1B8F" w:rsidRPr="00FF74B5">
        <w:rPr>
          <w:rFonts w:ascii="Arial" w:hAnsi="Arial" w:cs="Arial"/>
          <w:i/>
          <w:lang w:val="en-GB"/>
        </w:rPr>
        <w:t xml:space="preserve"> : </w:t>
      </w:r>
      <w:r w:rsidR="00D95631" w:rsidRPr="00FF74B5">
        <w:rPr>
          <w:rFonts w:ascii="Arial" w:hAnsi="Arial" w:cs="Arial"/>
          <w:i/>
          <w:lang w:val="en-GB"/>
        </w:rPr>
        <w:t>25.9</w:t>
      </w:r>
      <w:r w:rsidR="003A1B8F" w:rsidRPr="00FF74B5">
        <w:rPr>
          <w:rFonts w:ascii="Arial" w:hAnsi="Arial" w:cs="Arial"/>
          <w:i/>
          <w:lang w:val="en-GB"/>
        </w:rPr>
        <w:t>%)</w:t>
      </w:r>
    </w:p>
    <w:p w14:paraId="3A04EA11" w14:textId="1D4D3682" w:rsidR="00E64AEB" w:rsidRPr="00FF74B5" w:rsidRDefault="00E64AEB" w:rsidP="00316946">
      <w:pPr>
        <w:pStyle w:val="NormalWeb"/>
        <w:spacing w:before="0" w:beforeAutospacing="0" w:after="0" w:afterAutospacing="0"/>
        <w:rPr>
          <w:rFonts w:ascii="Arial" w:hAnsi="Arial" w:cs="Arial"/>
          <w:lang w:val="en-GB"/>
        </w:rPr>
      </w:pPr>
    </w:p>
    <w:p w14:paraId="3630D386" w14:textId="598A5D91" w:rsidR="00951343" w:rsidRPr="00FF74B5" w:rsidRDefault="00951343" w:rsidP="00316946">
      <w:pPr>
        <w:pStyle w:val="NormalWeb"/>
        <w:spacing w:before="0" w:beforeAutospacing="0" w:after="0" w:afterAutospacing="0"/>
        <w:rPr>
          <w:rFonts w:ascii="Arial" w:hAnsi="Arial" w:cs="Arial"/>
          <w:lang w:val="en-GB"/>
        </w:rPr>
      </w:pPr>
    </w:p>
    <w:p w14:paraId="2C34683B" w14:textId="77777777" w:rsidR="00951343" w:rsidRPr="00FF74B5" w:rsidRDefault="00951343" w:rsidP="00316946">
      <w:pPr>
        <w:pStyle w:val="NormalWeb"/>
        <w:spacing w:before="0" w:beforeAutospacing="0" w:after="0" w:afterAutospacing="0"/>
        <w:rPr>
          <w:rFonts w:ascii="Arial" w:hAnsi="Arial" w:cs="Arial"/>
          <w:lang w:val="en-GB"/>
        </w:rPr>
      </w:pPr>
    </w:p>
    <w:p w14:paraId="6963C78A" w14:textId="77777777" w:rsidR="00316946" w:rsidRPr="00FF74B5" w:rsidRDefault="00316946" w:rsidP="00316946">
      <w:pPr>
        <w:pStyle w:val="NormalWeb"/>
        <w:spacing w:before="0" w:beforeAutospacing="0" w:after="0" w:afterAutospacing="0"/>
        <w:rPr>
          <w:rFonts w:ascii="Arial" w:hAnsi="Arial" w:cs="Arial"/>
          <w:b/>
          <w:u w:val="single"/>
          <w:lang w:val="en-GB"/>
        </w:rPr>
      </w:pPr>
      <w:r w:rsidRPr="00FF74B5">
        <w:rPr>
          <w:rFonts w:ascii="Arial" w:hAnsi="Arial" w:cs="Arial"/>
          <w:b/>
          <w:u w:val="single"/>
          <w:lang w:val="en-GB"/>
        </w:rPr>
        <w:t>Proportion of employees receiving a bonus payment</w:t>
      </w:r>
    </w:p>
    <w:p w14:paraId="6963C78B" w14:textId="77777777" w:rsidR="00316946" w:rsidRPr="00FF74B5" w:rsidRDefault="00316946" w:rsidP="00316946">
      <w:pPr>
        <w:pStyle w:val="NormalWeb"/>
        <w:spacing w:before="0" w:beforeAutospacing="0" w:after="0" w:afterAutospacing="0"/>
        <w:rPr>
          <w:rFonts w:ascii="Arial" w:hAnsi="Arial" w:cs="Arial"/>
          <w:b/>
          <w:u w:val="single"/>
          <w:lang w:val="en-GB"/>
        </w:rPr>
      </w:pPr>
    </w:p>
    <w:tbl>
      <w:tblPr>
        <w:tblStyle w:val="TableGrid"/>
        <w:tblW w:w="6266" w:type="dxa"/>
        <w:tblLook w:val="04A0" w:firstRow="1" w:lastRow="0" w:firstColumn="1" w:lastColumn="0" w:noHBand="0" w:noVBand="1"/>
      </w:tblPr>
      <w:tblGrid>
        <w:gridCol w:w="1306"/>
        <w:gridCol w:w="1017"/>
        <w:gridCol w:w="974"/>
        <w:gridCol w:w="974"/>
        <w:gridCol w:w="1017"/>
        <w:gridCol w:w="978"/>
      </w:tblGrid>
      <w:tr w:rsidR="003A1B8F" w:rsidRPr="00FF74B5" w14:paraId="6963C78F" w14:textId="683A8B21" w:rsidTr="00D96687">
        <w:tc>
          <w:tcPr>
            <w:tcW w:w="1306" w:type="dxa"/>
            <w:tcBorders>
              <w:top w:val="nil"/>
              <w:left w:val="nil"/>
            </w:tcBorders>
          </w:tcPr>
          <w:p w14:paraId="6963C78C" w14:textId="77777777" w:rsidR="003A1B8F" w:rsidRPr="00FF74B5" w:rsidRDefault="003A1B8F" w:rsidP="003A1B8F">
            <w:pPr>
              <w:pStyle w:val="NormalWeb"/>
              <w:spacing w:before="0" w:beforeAutospacing="0" w:after="0" w:afterAutospacing="0"/>
              <w:rPr>
                <w:rFonts w:ascii="Arial" w:hAnsi="Arial" w:cs="Arial"/>
                <w:lang w:val="en-GB"/>
              </w:rPr>
            </w:pPr>
          </w:p>
        </w:tc>
        <w:tc>
          <w:tcPr>
            <w:tcW w:w="1017" w:type="dxa"/>
            <w:shd w:val="clear" w:color="auto" w:fill="D9D9D9" w:themeFill="background1" w:themeFillShade="D9"/>
          </w:tcPr>
          <w:p w14:paraId="6963C78D" w14:textId="77777777" w:rsidR="003A1B8F" w:rsidRPr="00FF74B5" w:rsidRDefault="003A1B8F" w:rsidP="003A1B8F">
            <w:pPr>
              <w:pStyle w:val="NormalWeb"/>
              <w:spacing w:before="0" w:beforeAutospacing="0" w:after="0" w:afterAutospacing="0"/>
              <w:jc w:val="center"/>
              <w:rPr>
                <w:rFonts w:ascii="Arial" w:hAnsi="Arial" w:cs="Arial"/>
                <w:lang w:val="en-GB"/>
              </w:rPr>
            </w:pPr>
            <w:r w:rsidRPr="00FF74B5">
              <w:rPr>
                <w:rFonts w:ascii="Arial" w:hAnsi="Arial" w:cs="Arial"/>
                <w:lang w:val="en-GB"/>
              </w:rPr>
              <w:t>Female</w:t>
            </w:r>
          </w:p>
        </w:tc>
        <w:tc>
          <w:tcPr>
            <w:tcW w:w="974" w:type="dxa"/>
            <w:shd w:val="clear" w:color="auto" w:fill="D9D9D9" w:themeFill="background1" w:themeFillShade="D9"/>
          </w:tcPr>
          <w:p w14:paraId="6963C78E" w14:textId="77777777" w:rsidR="003A1B8F" w:rsidRPr="00FF74B5" w:rsidRDefault="003A1B8F" w:rsidP="003A1B8F">
            <w:pPr>
              <w:pStyle w:val="NormalWeb"/>
              <w:spacing w:before="0" w:beforeAutospacing="0" w:after="0" w:afterAutospacing="0"/>
              <w:jc w:val="center"/>
              <w:rPr>
                <w:rFonts w:ascii="Arial" w:hAnsi="Arial" w:cs="Arial"/>
                <w:lang w:val="en-GB"/>
              </w:rPr>
            </w:pPr>
            <w:r w:rsidRPr="00FF74B5">
              <w:rPr>
                <w:rFonts w:ascii="Arial" w:hAnsi="Arial" w:cs="Arial"/>
                <w:lang w:val="en-GB"/>
              </w:rPr>
              <w:t>Male</w:t>
            </w:r>
          </w:p>
        </w:tc>
        <w:tc>
          <w:tcPr>
            <w:tcW w:w="974" w:type="dxa"/>
            <w:shd w:val="clear" w:color="auto" w:fill="D9D9D9" w:themeFill="background1" w:themeFillShade="D9"/>
          </w:tcPr>
          <w:p w14:paraId="28F85FF5" w14:textId="77777777" w:rsidR="003A1B8F" w:rsidRPr="00FF74B5" w:rsidRDefault="003A1B8F" w:rsidP="003A1B8F">
            <w:pPr>
              <w:pStyle w:val="NormalWeb"/>
              <w:spacing w:before="0" w:beforeAutospacing="0" w:after="0" w:afterAutospacing="0"/>
              <w:jc w:val="center"/>
              <w:rPr>
                <w:rFonts w:ascii="Arial" w:hAnsi="Arial" w:cs="Arial"/>
                <w:i/>
                <w:lang w:val="en-GB"/>
              </w:rPr>
            </w:pPr>
          </w:p>
        </w:tc>
        <w:tc>
          <w:tcPr>
            <w:tcW w:w="1017" w:type="dxa"/>
            <w:shd w:val="clear" w:color="auto" w:fill="D9D9D9" w:themeFill="background1" w:themeFillShade="D9"/>
          </w:tcPr>
          <w:p w14:paraId="5B861437" w14:textId="3875353A" w:rsidR="003A1B8F" w:rsidRPr="00FF74B5" w:rsidRDefault="003A1B8F" w:rsidP="003A1B8F">
            <w:pPr>
              <w:pStyle w:val="NormalWeb"/>
              <w:spacing w:before="0" w:beforeAutospacing="0" w:after="0" w:afterAutospacing="0"/>
              <w:jc w:val="center"/>
              <w:rPr>
                <w:rFonts w:ascii="Arial" w:hAnsi="Arial" w:cs="Arial"/>
                <w:i/>
                <w:lang w:val="en-GB"/>
              </w:rPr>
            </w:pPr>
            <w:r w:rsidRPr="00FF74B5">
              <w:rPr>
                <w:rFonts w:ascii="Arial" w:hAnsi="Arial" w:cs="Arial"/>
                <w:i/>
                <w:lang w:val="en-GB"/>
              </w:rPr>
              <w:t>Female</w:t>
            </w:r>
          </w:p>
        </w:tc>
        <w:tc>
          <w:tcPr>
            <w:tcW w:w="978" w:type="dxa"/>
            <w:shd w:val="clear" w:color="auto" w:fill="D9D9D9" w:themeFill="background1" w:themeFillShade="D9"/>
          </w:tcPr>
          <w:p w14:paraId="41C2767F" w14:textId="0387B8E2" w:rsidR="003A1B8F" w:rsidRPr="00FF74B5" w:rsidRDefault="003A1B8F" w:rsidP="003A1B8F">
            <w:pPr>
              <w:pStyle w:val="NormalWeb"/>
              <w:spacing w:before="0" w:beforeAutospacing="0" w:after="0" w:afterAutospacing="0"/>
              <w:jc w:val="center"/>
              <w:rPr>
                <w:rFonts w:ascii="Arial" w:hAnsi="Arial" w:cs="Arial"/>
                <w:i/>
                <w:lang w:val="en-GB"/>
              </w:rPr>
            </w:pPr>
            <w:r w:rsidRPr="00FF74B5">
              <w:rPr>
                <w:rFonts w:ascii="Arial" w:hAnsi="Arial" w:cs="Arial"/>
                <w:i/>
                <w:lang w:val="en-GB"/>
              </w:rPr>
              <w:t>Male</w:t>
            </w:r>
          </w:p>
        </w:tc>
      </w:tr>
      <w:tr w:rsidR="00D96687" w:rsidRPr="00FF74B5" w14:paraId="6963C793" w14:textId="26E28C0D" w:rsidTr="00D96687">
        <w:tc>
          <w:tcPr>
            <w:tcW w:w="1306" w:type="dxa"/>
          </w:tcPr>
          <w:p w14:paraId="6963C790" w14:textId="77777777" w:rsidR="00D96687" w:rsidRPr="00FF74B5" w:rsidRDefault="00D96687" w:rsidP="00D96687">
            <w:pPr>
              <w:pStyle w:val="NormalWeb"/>
              <w:spacing w:before="0" w:beforeAutospacing="0" w:after="0" w:afterAutospacing="0"/>
              <w:rPr>
                <w:rFonts w:ascii="Arial" w:hAnsi="Arial" w:cs="Arial"/>
                <w:lang w:val="en-GB"/>
              </w:rPr>
            </w:pPr>
            <w:r w:rsidRPr="00FF74B5">
              <w:rPr>
                <w:rFonts w:ascii="Arial" w:hAnsi="Arial" w:cs="Arial"/>
                <w:lang w:val="en-GB"/>
              </w:rPr>
              <w:t xml:space="preserve">ICI </w:t>
            </w:r>
          </w:p>
        </w:tc>
        <w:tc>
          <w:tcPr>
            <w:tcW w:w="1017" w:type="dxa"/>
          </w:tcPr>
          <w:p w14:paraId="6963C791" w14:textId="3FD49954" w:rsidR="00D96687" w:rsidRPr="00FF74B5" w:rsidRDefault="00D95631" w:rsidP="00D96687">
            <w:pPr>
              <w:pStyle w:val="NormalWeb"/>
              <w:spacing w:before="0" w:beforeAutospacing="0" w:after="0" w:afterAutospacing="0"/>
              <w:jc w:val="center"/>
              <w:rPr>
                <w:rFonts w:ascii="Arial" w:hAnsi="Arial" w:cs="Arial"/>
                <w:lang w:val="en-GB"/>
              </w:rPr>
            </w:pPr>
            <w:r w:rsidRPr="00FF74B5">
              <w:rPr>
                <w:rFonts w:ascii="Arial" w:hAnsi="Arial" w:cs="Arial"/>
                <w:lang w:val="en-GB"/>
              </w:rPr>
              <w:t>96.6</w:t>
            </w:r>
            <w:r w:rsidR="00DC6386" w:rsidRPr="00FF74B5">
              <w:rPr>
                <w:rFonts w:ascii="Arial" w:hAnsi="Arial" w:cs="Arial"/>
                <w:lang w:val="en-GB"/>
              </w:rPr>
              <w:t>%</w:t>
            </w:r>
          </w:p>
        </w:tc>
        <w:tc>
          <w:tcPr>
            <w:tcW w:w="974" w:type="dxa"/>
          </w:tcPr>
          <w:p w14:paraId="6963C792" w14:textId="081F3EEE" w:rsidR="00D96687" w:rsidRPr="00FF74B5" w:rsidRDefault="00D95631" w:rsidP="00D96687">
            <w:pPr>
              <w:pStyle w:val="NormalWeb"/>
              <w:spacing w:before="0" w:beforeAutospacing="0" w:after="0" w:afterAutospacing="0"/>
              <w:jc w:val="center"/>
              <w:rPr>
                <w:rFonts w:ascii="Arial" w:hAnsi="Arial" w:cs="Arial"/>
                <w:lang w:val="en-GB"/>
              </w:rPr>
            </w:pPr>
            <w:r w:rsidRPr="00FF74B5">
              <w:rPr>
                <w:rFonts w:ascii="Arial" w:hAnsi="Arial" w:cs="Arial"/>
                <w:lang w:val="en-GB"/>
              </w:rPr>
              <w:t>95.8</w:t>
            </w:r>
            <w:r w:rsidR="00DC6386" w:rsidRPr="00FF74B5">
              <w:rPr>
                <w:rFonts w:ascii="Arial" w:hAnsi="Arial" w:cs="Arial"/>
                <w:lang w:val="en-GB"/>
              </w:rPr>
              <w:t>%</w:t>
            </w:r>
          </w:p>
        </w:tc>
        <w:tc>
          <w:tcPr>
            <w:tcW w:w="974" w:type="dxa"/>
          </w:tcPr>
          <w:p w14:paraId="5C239FA5" w14:textId="435EC334" w:rsidR="00D96687" w:rsidRPr="00FF74B5" w:rsidRDefault="00D30B3C" w:rsidP="00D96687">
            <w:pPr>
              <w:pStyle w:val="NormalWeb"/>
              <w:spacing w:before="0" w:beforeAutospacing="0" w:after="0" w:afterAutospacing="0"/>
              <w:jc w:val="center"/>
              <w:rPr>
                <w:rFonts w:ascii="Arial" w:hAnsi="Arial" w:cs="Arial"/>
                <w:i/>
                <w:lang w:val="en-GB"/>
              </w:rPr>
            </w:pPr>
            <w:r w:rsidRPr="00FF74B5">
              <w:rPr>
                <w:rFonts w:ascii="Arial" w:hAnsi="Arial" w:cs="Arial"/>
                <w:i/>
                <w:lang w:val="en-GB"/>
              </w:rPr>
              <w:t>202</w:t>
            </w:r>
            <w:r w:rsidR="00D95631" w:rsidRPr="00FF74B5">
              <w:rPr>
                <w:rFonts w:ascii="Arial" w:hAnsi="Arial" w:cs="Arial"/>
                <w:i/>
                <w:lang w:val="en-GB"/>
              </w:rPr>
              <w:t>1</w:t>
            </w:r>
          </w:p>
        </w:tc>
        <w:tc>
          <w:tcPr>
            <w:tcW w:w="1017" w:type="dxa"/>
          </w:tcPr>
          <w:p w14:paraId="5DB05D5F" w14:textId="572A0A6B" w:rsidR="00D96687" w:rsidRPr="00FF74B5" w:rsidRDefault="00D95631" w:rsidP="00D96687">
            <w:pPr>
              <w:pStyle w:val="NormalWeb"/>
              <w:spacing w:before="0" w:beforeAutospacing="0" w:after="0" w:afterAutospacing="0"/>
              <w:jc w:val="center"/>
              <w:rPr>
                <w:rFonts w:ascii="Arial" w:hAnsi="Arial" w:cs="Arial"/>
                <w:i/>
                <w:lang w:val="en-GB"/>
              </w:rPr>
            </w:pPr>
            <w:r w:rsidRPr="00FF74B5">
              <w:rPr>
                <w:rFonts w:ascii="Arial" w:hAnsi="Arial" w:cs="Arial"/>
                <w:i/>
                <w:lang w:val="en-GB"/>
              </w:rPr>
              <w:t>97.8</w:t>
            </w:r>
            <w:r w:rsidR="00D30B3C" w:rsidRPr="00FF74B5">
              <w:rPr>
                <w:rFonts w:ascii="Arial" w:hAnsi="Arial" w:cs="Arial"/>
                <w:i/>
                <w:lang w:val="en-GB"/>
              </w:rPr>
              <w:t>%</w:t>
            </w:r>
          </w:p>
        </w:tc>
        <w:tc>
          <w:tcPr>
            <w:tcW w:w="978" w:type="dxa"/>
          </w:tcPr>
          <w:p w14:paraId="51FAFCF2" w14:textId="3144E15F" w:rsidR="00D96687" w:rsidRPr="00FF74B5" w:rsidRDefault="00D96687" w:rsidP="00D30B3C">
            <w:pPr>
              <w:pStyle w:val="NormalWeb"/>
              <w:spacing w:before="0" w:beforeAutospacing="0" w:after="0" w:afterAutospacing="0"/>
              <w:jc w:val="center"/>
              <w:rPr>
                <w:rFonts w:ascii="Arial" w:hAnsi="Arial" w:cs="Arial"/>
                <w:i/>
                <w:lang w:val="en-GB"/>
              </w:rPr>
            </w:pPr>
            <w:r w:rsidRPr="00FF74B5">
              <w:rPr>
                <w:rFonts w:ascii="Arial" w:hAnsi="Arial" w:cs="Arial"/>
                <w:i/>
                <w:lang w:val="en-GB"/>
              </w:rPr>
              <w:t>9</w:t>
            </w:r>
            <w:r w:rsidR="00D95631" w:rsidRPr="00FF74B5">
              <w:rPr>
                <w:rFonts w:ascii="Arial" w:hAnsi="Arial" w:cs="Arial"/>
                <w:i/>
                <w:lang w:val="en-GB"/>
              </w:rPr>
              <w:t>7</w:t>
            </w:r>
            <w:r w:rsidRPr="00FF74B5">
              <w:rPr>
                <w:rFonts w:ascii="Arial" w:hAnsi="Arial" w:cs="Arial"/>
                <w:i/>
                <w:lang w:val="en-GB"/>
              </w:rPr>
              <w:t>%</w:t>
            </w:r>
          </w:p>
        </w:tc>
      </w:tr>
    </w:tbl>
    <w:p w14:paraId="6963C79C" w14:textId="77777777" w:rsidR="00316946" w:rsidRPr="00FF74B5" w:rsidRDefault="00316946" w:rsidP="00316946">
      <w:pPr>
        <w:pStyle w:val="NormalWeb"/>
        <w:spacing w:before="0" w:beforeAutospacing="0" w:after="0" w:afterAutospacing="0"/>
        <w:rPr>
          <w:rFonts w:ascii="Arial" w:hAnsi="Arial" w:cs="Arial"/>
          <w:lang w:val="en-GB"/>
        </w:rPr>
      </w:pPr>
    </w:p>
    <w:p w14:paraId="6963C79D" w14:textId="77777777" w:rsidR="00316946" w:rsidRPr="00FF74B5" w:rsidRDefault="00316946" w:rsidP="00316946">
      <w:pPr>
        <w:pStyle w:val="NormalWeb"/>
        <w:spacing w:before="0" w:beforeAutospacing="0" w:after="0" w:afterAutospacing="0"/>
        <w:rPr>
          <w:rFonts w:ascii="Arial" w:hAnsi="Arial" w:cs="Arial"/>
          <w:b/>
          <w:u w:val="single"/>
          <w:lang w:val="en-GB"/>
        </w:rPr>
      </w:pPr>
      <w:r w:rsidRPr="00FF74B5">
        <w:rPr>
          <w:rFonts w:ascii="Arial" w:hAnsi="Arial" w:cs="Arial"/>
          <w:b/>
          <w:u w:val="single"/>
          <w:lang w:val="en-GB"/>
        </w:rPr>
        <w:t>Proportion of employees within each pay quartile</w:t>
      </w:r>
    </w:p>
    <w:p w14:paraId="6963C79E" w14:textId="2E93BE7A" w:rsidR="00316946" w:rsidRPr="00FF74B5" w:rsidRDefault="00316946" w:rsidP="00316946">
      <w:pPr>
        <w:pStyle w:val="NormalWeb"/>
        <w:spacing w:before="0" w:beforeAutospacing="0" w:after="0" w:afterAutospacing="0"/>
        <w:rPr>
          <w:rFonts w:ascii="Arial" w:hAnsi="Arial" w:cs="Arial"/>
          <w:lang w:val="en-GB"/>
        </w:rPr>
      </w:pPr>
    </w:p>
    <w:tbl>
      <w:tblPr>
        <w:tblStyle w:val="TableGrid"/>
        <w:tblW w:w="0" w:type="auto"/>
        <w:tblLook w:val="04A0" w:firstRow="1" w:lastRow="0" w:firstColumn="1" w:lastColumn="0" w:noHBand="0" w:noVBand="1"/>
      </w:tblPr>
      <w:tblGrid>
        <w:gridCol w:w="1002"/>
        <w:gridCol w:w="1003"/>
        <w:gridCol w:w="1003"/>
        <w:gridCol w:w="1003"/>
        <w:gridCol w:w="1002"/>
        <w:gridCol w:w="1002"/>
        <w:gridCol w:w="1002"/>
        <w:gridCol w:w="1002"/>
        <w:gridCol w:w="1002"/>
      </w:tblGrid>
      <w:tr w:rsidR="00316946" w:rsidRPr="00FF74B5" w14:paraId="6963C7A8" w14:textId="77777777" w:rsidTr="001843CC">
        <w:tc>
          <w:tcPr>
            <w:tcW w:w="1002" w:type="dxa"/>
            <w:tcBorders>
              <w:top w:val="nil"/>
              <w:left w:val="nil"/>
              <w:bottom w:val="nil"/>
            </w:tcBorders>
          </w:tcPr>
          <w:p w14:paraId="6963C79F" w14:textId="77777777" w:rsidR="00316946" w:rsidRPr="00FF74B5" w:rsidRDefault="00316946" w:rsidP="00136851">
            <w:pPr>
              <w:pStyle w:val="NormalWeb"/>
              <w:spacing w:before="0" w:beforeAutospacing="0" w:after="0" w:afterAutospacing="0"/>
              <w:rPr>
                <w:rFonts w:ascii="Arial" w:hAnsi="Arial" w:cs="Arial"/>
                <w:lang w:val="en-GB"/>
              </w:rPr>
            </w:pPr>
          </w:p>
        </w:tc>
        <w:tc>
          <w:tcPr>
            <w:tcW w:w="1003" w:type="dxa"/>
            <w:shd w:val="clear" w:color="auto" w:fill="D9D9D9" w:themeFill="background1" w:themeFillShade="D9"/>
          </w:tcPr>
          <w:p w14:paraId="6963C7A0"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Q1</w:t>
            </w:r>
          </w:p>
        </w:tc>
        <w:tc>
          <w:tcPr>
            <w:tcW w:w="1003" w:type="dxa"/>
            <w:shd w:val="clear" w:color="auto" w:fill="D9D9D9" w:themeFill="background1" w:themeFillShade="D9"/>
          </w:tcPr>
          <w:p w14:paraId="6963C7A1"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Q1</w:t>
            </w:r>
          </w:p>
        </w:tc>
        <w:tc>
          <w:tcPr>
            <w:tcW w:w="1003" w:type="dxa"/>
            <w:shd w:val="clear" w:color="auto" w:fill="D9D9D9" w:themeFill="background1" w:themeFillShade="D9"/>
          </w:tcPr>
          <w:p w14:paraId="6963C7A2"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Q2</w:t>
            </w:r>
          </w:p>
        </w:tc>
        <w:tc>
          <w:tcPr>
            <w:tcW w:w="1002" w:type="dxa"/>
            <w:shd w:val="clear" w:color="auto" w:fill="D9D9D9" w:themeFill="background1" w:themeFillShade="D9"/>
          </w:tcPr>
          <w:p w14:paraId="6963C7A3"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Q2</w:t>
            </w:r>
          </w:p>
        </w:tc>
        <w:tc>
          <w:tcPr>
            <w:tcW w:w="1002" w:type="dxa"/>
            <w:shd w:val="clear" w:color="auto" w:fill="D9D9D9" w:themeFill="background1" w:themeFillShade="D9"/>
          </w:tcPr>
          <w:p w14:paraId="6963C7A4"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Q3</w:t>
            </w:r>
          </w:p>
        </w:tc>
        <w:tc>
          <w:tcPr>
            <w:tcW w:w="1002" w:type="dxa"/>
            <w:shd w:val="clear" w:color="auto" w:fill="D9D9D9" w:themeFill="background1" w:themeFillShade="D9"/>
          </w:tcPr>
          <w:p w14:paraId="6963C7A5"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Q3</w:t>
            </w:r>
          </w:p>
        </w:tc>
        <w:tc>
          <w:tcPr>
            <w:tcW w:w="1002" w:type="dxa"/>
            <w:shd w:val="clear" w:color="auto" w:fill="D9D9D9" w:themeFill="background1" w:themeFillShade="D9"/>
          </w:tcPr>
          <w:p w14:paraId="6963C7A6"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Q4</w:t>
            </w:r>
          </w:p>
        </w:tc>
        <w:tc>
          <w:tcPr>
            <w:tcW w:w="1002" w:type="dxa"/>
            <w:shd w:val="clear" w:color="auto" w:fill="D9D9D9" w:themeFill="background1" w:themeFillShade="D9"/>
          </w:tcPr>
          <w:p w14:paraId="6963C7A7"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Q4</w:t>
            </w:r>
          </w:p>
        </w:tc>
      </w:tr>
      <w:tr w:rsidR="00316946" w:rsidRPr="00FF74B5" w14:paraId="6963C7B2" w14:textId="77777777" w:rsidTr="001843CC">
        <w:tc>
          <w:tcPr>
            <w:tcW w:w="1002" w:type="dxa"/>
            <w:tcBorders>
              <w:top w:val="nil"/>
              <w:left w:val="nil"/>
            </w:tcBorders>
          </w:tcPr>
          <w:p w14:paraId="6963C7A9" w14:textId="77777777" w:rsidR="00316946" w:rsidRPr="00FF74B5" w:rsidRDefault="00316946" w:rsidP="00136851">
            <w:pPr>
              <w:pStyle w:val="NormalWeb"/>
              <w:spacing w:before="0" w:beforeAutospacing="0" w:after="0" w:afterAutospacing="0"/>
              <w:rPr>
                <w:rFonts w:ascii="Arial" w:hAnsi="Arial" w:cs="Arial"/>
                <w:lang w:val="en-GB"/>
              </w:rPr>
            </w:pPr>
          </w:p>
        </w:tc>
        <w:tc>
          <w:tcPr>
            <w:tcW w:w="1003" w:type="dxa"/>
            <w:shd w:val="clear" w:color="auto" w:fill="D9D9D9" w:themeFill="background1" w:themeFillShade="D9"/>
          </w:tcPr>
          <w:p w14:paraId="6963C7AA"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F</w:t>
            </w:r>
          </w:p>
        </w:tc>
        <w:tc>
          <w:tcPr>
            <w:tcW w:w="1003" w:type="dxa"/>
            <w:shd w:val="clear" w:color="auto" w:fill="D9D9D9" w:themeFill="background1" w:themeFillShade="D9"/>
          </w:tcPr>
          <w:p w14:paraId="6963C7AB"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M</w:t>
            </w:r>
          </w:p>
        </w:tc>
        <w:tc>
          <w:tcPr>
            <w:tcW w:w="1003" w:type="dxa"/>
            <w:shd w:val="clear" w:color="auto" w:fill="D9D9D9" w:themeFill="background1" w:themeFillShade="D9"/>
          </w:tcPr>
          <w:p w14:paraId="6963C7AC"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F</w:t>
            </w:r>
          </w:p>
        </w:tc>
        <w:tc>
          <w:tcPr>
            <w:tcW w:w="1002" w:type="dxa"/>
            <w:shd w:val="clear" w:color="auto" w:fill="D9D9D9" w:themeFill="background1" w:themeFillShade="D9"/>
          </w:tcPr>
          <w:p w14:paraId="6963C7AD"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M</w:t>
            </w:r>
          </w:p>
        </w:tc>
        <w:tc>
          <w:tcPr>
            <w:tcW w:w="1002" w:type="dxa"/>
            <w:shd w:val="clear" w:color="auto" w:fill="D9D9D9" w:themeFill="background1" w:themeFillShade="D9"/>
          </w:tcPr>
          <w:p w14:paraId="6963C7AE"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F</w:t>
            </w:r>
          </w:p>
        </w:tc>
        <w:tc>
          <w:tcPr>
            <w:tcW w:w="1002" w:type="dxa"/>
            <w:shd w:val="clear" w:color="auto" w:fill="D9D9D9" w:themeFill="background1" w:themeFillShade="D9"/>
          </w:tcPr>
          <w:p w14:paraId="6963C7AF"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M</w:t>
            </w:r>
          </w:p>
        </w:tc>
        <w:tc>
          <w:tcPr>
            <w:tcW w:w="1002" w:type="dxa"/>
            <w:shd w:val="clear" w:color="auto" w:fill="D9D9D9" w:themeFill="background1" w:themeFillShade="D9"/>
          </w:tcPr>
          <w:p w14:paraId="6963C7B0"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F</w:t>
            </w:r>
          </w:p>
        </w:tc>
        <w:tc>
          <w:tcPr>
            <w:tcW w:w="1002" w:type="dxa"/>
            <w:shd w:val="clear" w:color="auto" w:fill="D9D9D9" w:themeFill="background1" w:themeFillShade="D9"/>
          </w:tcPr>
          <w:p w14:paraId="6963C7B1" w14:textId="77777777" w:rsidR="00316946" w:rsidRPr="00FF74B5" w:rsidRDefault="0031694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M</w:t>
            </w:r>
          </w:p>
        </w:tc>
      </w:tr>
      <w:tr w:rsidR="00316946" w:rsidRPr="00FF74B5" w14:paraId="6963C7BC" w14:textId="77777777" w:rsidTr="001843CC">
        <w:tc>
          <w:tcPr>
            <w:tcW w:w="1002" w:type="dxa"/>
          </w:tcPr>
          <w:p w14:paraId="6963C7B3" w14:textId="77777777" w:rsidR="00316946" w:rsidRPr="00FF74B5" w:rsidRDefault="00316946" w:rsidP="00136851">
            <w:pPr>
              <w:pStyle w:val="NormalWeb"/>
              <w:spacing w:before="0" w:beforeAutospacing="0" w:after="0" w:afterAutospacing="0"/>
              <w:rPr>
                <w:rFonts w:ascii="Arial" w:hAnsi="Arial" w:cs="Arial"/>
                <w:lang w:val="en-GB"/>
              </w:rPr>
            </w:pPr>
            <w:r w:rsidRPr="00FF74B5">
              <w:rPr>
                <w:rFonts w:ascii="Arial" w:hAnsi="Arial" w:cs="Arial"/>
                <w:lang w:val="en-GB"/>
              </w:rPr>
              <w:t xml:space="preserve">ICI </w:t>
            </w:r>
          </w:p>
        </w:tc>
        <w:tc>
          <w:tcPr>
            <w:tcW w:w="1003" w:type="dxa"/>
          </w:tcPr>
          <w:p w14:paraId="6963C7B4" w14:textId="770602D3" w:rsidR="00316946" w:rsidRPr="00FF74B5" w:rsidRDefault="00D95631"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36</w:t>
            </w:r>
            <w:r w:rsidR="00DC6386" w:rsidRPr="00FF74B5">
              <w:rPr>
                <w:rFonts w:ascii="Arial" w:hAnsi="Arial" w:cs="Arial"/>
                <w:lang w:val="en-GB"/>
              </w:rPr>
              <w:t>%</w:t>
            </w:r>
          </w:p>
        </w:tc>
        <w:tc>
          <w:tcPr>
            <w:tcW w:w="1003" w:type="dxa"/>
          </w:tcPr>
          <w:p w14:paraId="6963C7B5" w14:textId="7AFD1BD2"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6</w:t>
            </w:r>
            <w:r w:rsidR="00D95631" w:rsidRPr="00FF74B5">
              <w:rPr>
                <w:rFonts w:ascii="Arial" w:hAnsi="Arial" w:cs="Arial"/>
                <w:lang w:val="en-GB"/>
              </w:rPr>
              <w:t>4</w:t>
            </w:r>
            <w:r w:rsidRPr="00FF74B5">
              <w:rPr>
                <w:rFonts w:ascii="Arial" w:hAnsi="Arial" w:cs="Arial"/>
                <w:lang w:val="en-GB"/>
              </w:rPr>
              <w:t>%</w:t>
            </w:r>
          </w:p>
        </w:tc>
        <w:tc>
          <w:tcPr>
            <w:tcW w:w="1003" w:type="dxa"/>
          </w:tcPr>
          <w:p w14:paraId="6963C7B6" w14:textId="2473391C"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2</w:t>
            </w:r>
            <w:r w:rsidR="00D95631" w:rsidRPr="00FF74B5">
              <w:rPr>
                <w:rFonts w:ascii="Arial" w:hAnsi="Arial" w:cs="Arial"/>
                <w:lang w:val="en-GB"/>
              </w:rPr>
              <w:t>1</w:t>
            </w:r>
            <w:r w:rsidRPr="00FF74B5">
              <w:rPr>
                <w:rFonts w:ascii="Arial" w:hAnsi="Arial" w:cs="Arial"/>
                <w:lang w:val="en-GB"/>
              </w:rPr>
              <w:t>%</w:t>
            </w:r>
          </w:p>
        </w:tc>
        <w:tc>
          <w:tcPr>
            <w:tcW w:w="1002" w:type="dxa"/>
          </w:tcPr>
          <w:p w14:paraId="6963C7B7" w14:textId="2AF8AB47"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7</w:t>
            </w:r>
            <w:r w:rsidR="00D95631" w:rsidRPr="00FF74B5">
              <w:rPr>
                <w:rFonts w:ascii="Arial" w:hAnsi="Arial" w:cs="Arial"/>
                <w:lang w:val="en-GB"/>
              </w:rPr>
              <w:t>9</w:t>
            </w:r>
            <w:r w:rsidRPr="00FF74B5">
              <w:rPr>
                <w:rFonts w:ascii="Arial" w:hAnsi="Arial" w:cs="Arial"/>
                <w:lang w:val="en-GB"/>
              </w:rPr>
              <w:t>%</w:t>
            </w:r>
          </w:p>
        </w:tc>
        <w:tc>
          <w:tcPr>
            <w:tcW w:w="1002" w:type="dxa"/>
          </w:tcPr>
          <w:p w14:paraId="6963C7B8" w14:textId="54B0A771"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3</w:t>
            </w:r>
            <w:r w:rsidR="00D95631" w:rsidRPr="00FF74B5">
              <w:rPr>
                <w:rFonts w:ascii="Arial" w:hAnsi="Arial" w:cs="Arial"/>
                <w:lang w:val="en-GB"/>
              </w:rPr>
              <w:t>6</w:t>
            </w:r>
            <w:r w:rsidRPr="00FF74B5">
              <w:rPr>
                <w:rFonts w:ascii="Arial" w:hAnsi="Arial" w:cs="Arial"/>
                <w:lang w:val="en-GB"/>
              </w:rPr>
              <w:t>%</w:t>
            </w:r>
          </w:p>
        </w:tc>
        <w:tc>
          <w:tcPr>
            <w:tcW w:w="1002" w:type="dxa"/>
          </w:tcPr>
          <w:p w14:paraId="6963C7B9" w14:textId="63A34404"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6</w:t>
            </w:r>
            <w:r w:rsidR="00D95631" w:rsidRPr="00FF74B5">
              <w:rPr>
                <w:rFonts w:ascii="Arial" w:hAnsi="Arial" w:cs="Arial"/>
                <w:lang w:val="en-GB"/>
              </w:rPr>
              <w:t>4</w:t>
            </w:r>
            <w:r w:rsidRPr="00FF74B5">
              <w:rPr>
                <w:rFonts w:ascii="Arial" w:hAnsi="Arial" w:cs="Arial"/>
                <w:lang w:val="en-GB"/>
              </w:rPr>
              <w:t>%</w:t>
            </w:r>
          </w:p>
        </w:tc>
        <w:tc>
          <w:tcPr>
            <w:tcW w:w="1002" w:type="dxa"/>
          </w:tcPr>
          <w:p w14:paraId="6963C7BA" w14:textId="70D85E3D"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3</w:t>
            </w:r>
            <w:r w:rsidR="00D95631" w:rsidRPr="00FF74B5">
              <w:rPr>
                <w:rFonts w:ascii="Arial" w:hAnsi="Arial" w:cs="Arial"/>
                <w:lang w:val="en-GB"/>
              </w:rPr>
              <w:t>9</w:t>
            </w:r>
            <w:r w:rsidRPr="00FF74B5">
              <w:rPr>
                <w:rFonts w:ascii="Arial" w:hAnsi="Arial" w:cs="Arial"/>
                <w:lang w:val="en-GB"/>
              </w:rPr>
              <w:t>%</w:t>
            </w:r>
          </w:p>
        </w:tc>
        <w:tc>
          <w:tcPr>
            <w:tcW w:w="1002" w:type="dxa"/>
          </w:tcPr>
          <w:p w14:paraId="6963C7BB" w14:textId="34C5A388" w:rsidR="00316946" w:rsidRPr="00FF74B5" w:rsidRDefault="00DC6386" w:rsidP="00136851">
            <w:pPr>
              <w:pStyle w:val="NormalWeb"/>
              <w:spacing w:before="0" w:beforeAutospacing="0" w:after="0" w:afterAutospacing="0"/>
              <w:jc w:val="center"/>
              <w:rPr>
                <w:rFonts w:ascii="Arial" w:hAnsi="Arial" w:cs="Arial"/>
                <w:lang w:val="en-GB"/>
              </w:rPr>
            </w:pPr>
            <w:r w:rsidRPr="00FF74B5">
              <w:rPr>
                <w:rFonts w:ascii="Arial" w:hAnsi="Arial" w:cs="Arial"/>
                <w:lang w:val="en-GB"/>
              </w:rPr>
              <w:t>6</w:t>
            </w:r>
            <w:r w:rsidR="00D95631" w:rsidRPr="00FF74B5">
              <w:rPr>
                <w:rFonts w:ascii="Arial" w:hAnsi="Arial" w:cs="Arial"/>
                <w:lang w:val="en-GB"/>
              </w:rPr>
              <w:t>1</w:t>
            </w:r>
            <w:r w:rsidRPr="00FF74B5">
              <w:rPr>
                <w:rFonts w:ascii="Arial" w:hAnsi="Arial" w:cs="Arial"/>
                <w:lang w:val="en-GB"/>
              </w:rPr>
              <w:t>%</w:t>
            </w:r>
          </w:p>
        </w:tc>
      </w:tr>
    </w:tbl>
    <w:p w14:paraId="6963C7D4" w14:textId="17A93CEB" w:rsidR="00F232A1" w:rsidRPr="00FF74B5" w:rsidRDefault="00F232A1">
      <w:pPr>
        <w:pStyle w:val="NormalWeb"/>
        <w:rPr>
          <w:rFonts w:ascii="Arial" w:hAnsi="Arial" w:cs="Arial"/>
          <w:b/>
          <w:sz w:val="22"/>
          <w:szCs w:val="22"/>
          <w:u w:val="single"/>
          <w:lang w:val="en"/>
        </w:rPr>
      </w:pPr>
      <w:r w:rsidRPr="00FF74B5">
        <w:rPr>
          <w:rFonts w:ascii="Arial" w:hAnsi="Arial" w:cs="Arial"/>
          <w:b/>
          <w:sz w:val="22"/>
          <w:szCs w:val="22"/>
          <w:u w:val="single"/>
          <w:lang w:val="en"/>
        </w:rPr>
        <w:t>Gender Pay Gap – Hourly Rate and Bonus</w:t>
      </w:r>
    </w:p>
    <w:p w14:paraId="5292CEC0" w14:textId="638082F8" w:rsidR="00274A03" w:rsidRPr="00FF74B5" w:rsidRDefault="00274A03" w:rsidP="00FF74B5">
      <w:pPr>
        <w:pStyle w:val="NormalWeb"/>
        <w:jc w:val="both"/>
        <w:rPr>
          <w:rFonts w:ascii="Arial" w:hAnsi="Arial" w:cs="Arial"/>
          <w:bCs/>
          <w:sz w:val="22"/>
          <w:szCs w:val="22"/>
          <w:lang w:val="en"/>
        </w:rPr>
      </w:pPr>
      <w:r w:rsidRPr="00FF74B5">
        <w:rPr>
          <w:rFonts w:ascii="Arial" w:hAnsi="Arial" w:cs="Arial"/>
          <w:bCs/>
          <w:sz w:val="22"/>
          <w:szCs w:val="22"/>
          <w:lang w:val="en"/>
        </w:rPr>
        <w:t>Across ICI</w:t>
      </w:r>
      <w:r w:rsidR="001843CC" w:rsidRPr="00FF74B5">
        <w:rPr>
          <w:rFonts w:ascii="Arial" w:hAnsi="Arial" w:cs="Arial"/>
          <w:bCs/>
          <w:sz w:val="22"/>
          <w:szCs w:val="22"/>
          <w:lang w:val="en"/>
        </w:rPr>
        <w:t>,</w:t>
      </w:r>
      <w:r w:rsidRPr="00FF74B5">
        <w:rPr>
          <w:rFonts w:ascii="Arial" w:hAnsi="Arial" w:cs="Arial"/>
          <w:bCs/>
          <w:sz w:val="22"/>
          <w:szCs w:val="22"/>
          <w:lang w:val="en"/>
        </w:rPr>
        <w:t xml:space="preserve"> the </w:t>
      </w:r>
      <w:r w:rsidR="008E2C4B" w:rsidRPr="00FF74B5">
        <w:rPr>
          <w:rFonts w:ascii="Arial" w:hAnsi="Arial" w:cs="Arial"/>
          <w:bCs/>
          <w:sz w:val="22"/>
          <w:szCs w:val="22"/>
          <w:lang w:val="en"/>
        </w:rPr>
        <w:t xml:space="preserve">2022 </w:t>
      </w:r>
      <w:r w:rsidRPr="00FF74B5">
        <w:rPr>
          <w:rFonts w:ascii="Arial" w:hAnsi="Arial" w:cs="Arial"/>
          <w:bCs/>
          <w:sz w:val="22"/>
          <w:szCs w:val="22"/>
          <w:lang w:val="en"/>
        </w:rPr>
        <w:t xml:space="preserve">gender pay gap </w:t>
      </w:r>
      <w:r w:rsidR="001843CC" w:rsidRPr="00FF74B5">
        <w:rPr>
          <w:rFonts w:ascii="Arial" w:hAnsi="Arial" w:cs="Arial"/>
          <w:bCs/>
          <w:sz w:val="22"/>
          <w:szCs w:val="22"/>
          <w:lang w:val="en"/>
        </w:rPr>
        <w:t xml:space="preserve">is now </w:t>
      </w:r>
      <w:r w:rsidRPr="00FF74B5">
        <w:rPr>
          <w:rFonts w:ascii="Arial" w:hAnsi="Arial" w:cs="Arial"/>
          <w:bCs/>
          <w:sz w:val="22"/>
          <w:szCs w:val="22"/>
          <w:lang w:val="en"/>
        </w:rPr>
        <w:t xml:space="preserve">below </w:t>
      </w:r>
      <w:r w:rsidR="008E2C4B" w:rsidRPr="00FF74B5">
        <w:rPr>
          <w:rFonts w:ascii="Arial" w:hAnsi="Arial" w:cs="Arial"/>
          <w:bCs/>
          <w:sz w:val="22"/>
          <w:szCs w:val="22"/>
          <w:lang w:val="en"/>
        </w:rPr>
        <w:t>zero which highlights the gender diversity across the more senior positions</w:t>
      </w:r>
      <w:r w:rsidR="00443305" w:rsidRPr="00FF74B5">
        <w:rPr>
          <w:rFonts w:ascii="Arial" w:hAnsi="Arial" w:cs="Arial"/>
          <w:bCs/>
          <w:sz w:val="22"/>
          <w:szCs w:val="22"/>
          <w:lang w:val="en"/>
        </w:rPr>
        <w:t>.</w:t>
      </w:r>
    </w:p>
    <w:p w14:paraId="684B1F8C" w14:textId="0B4AC06D" w:rsidR="001F05C7" w:rsidRPr="00FF74B5" w:rsidRDefault="008E2C4B" w:rsidP="00FF74B5">
      <w:pPr>
        <w:pStyle w:val="NormalWeb"/>
        <w:jc w:val="both"/>
        <w:rPr>
          <w:rFonts w:ascii="Arial" w:hAnsi="Arial" w:cs="Arial"/>
          <w:bCs/>
          <w:sz w:val="22"/>
          <w:szCs w:val="22"/>
          <w:lang w:val="en"/>
        </w:rPr>
      </w:pPr>
      <w:r w:rsidRPr="00FF74B5">
        <w:rPr>
          <w:rFonts w:ascii="Arial" w:hAnsi="Arial" w:cs="Arial"/>
          <w:bCs/>
          <w:sz w:val="22"/>
          <w:szCs w:val="22"/>
          <w:lang w:val="en"/>
        </w:rPr>
        <w:t>Although the bonus gender pay gaps have reduced, we fully acknowledge that there is still work required to reduce it further. The emphasis continues to be a focus on increasing the proportion of females across both senior management an</w:t>
      </w:r>
      <w:r w:rsidR="00443305" w:rsidRPr="00FF74B5">
        <w:rPr>
          <w:rFonts w:ascii="Arial" w:hAnsi="Arial" w:cs="Arial"/>
          <w:bCs/>
          <w:sz w:val="22"/>
          <w:szCs w:val="22"/>
          <w:lang w:val="en"/>
        </w:rPr>
        <w:t>d</w:t>
      </w:r>
      <w:r w:rsidRPr="00FF74B5">
        <w:rPr>
          <w:rFonts w:ascii="Arial" w:hAnsi="Arial" w:cs="Arial"/>
          <w:bCs/>
          <w:sz w:val="22"/>
          <w:szCs w:val="22"/>
          <w:lang w:val="en"/>
        </w:rPr>
        <w:t xml:space="preserve"> executive </w:t>
      </w:r>
      <w:r w:rsidR="004D34C9" w:rsidRPr="00FF74B5">
        <w:rPr>
          <w:rFonts w:ascii="Arial" w:hAnsi="Arial" w:cs="Arial"/>
          <w:bCs/>
          <w:sz w:val="22"/>
          <w:szCs w:val="22"/>
          <w:lang w:val="en"/>
        </w:rPr>
        <w:t>positions.</w:t>
      </w:r>
    </w:p>
    <w:p w14:paraId="22DBDBFA" w14:textId="6256E09B" w:rsidR="00DC6386" w:rsidRPr="00FF74B5" w:rsidRDefault="002B47C9" w:rsidP="00FF74B5">
      <w:pPr>
        <w:pStyle w:val="NormalWeb"/>
        <w:jc w:val="both"/>
        <w:rPr>
          <w:rFonts w:ascii="Arial" w:hAnsi="Arial" w:cs="Arial"/>
          <w:bCs/>
          <w:sz w:val="22"/>
          <w:szCs w:val="22"/>
          <w:lang w:val="en"/>
        </w:rPr>
      </w:pPr>
      <w:bookmarkStart w:id="1" w:name="_Hlk133504029"/>
      <w:r w:rsidRPr="00FF74B5">
        <w:rPr>
          <w:rFonts w:ascii="Arial" w:hAnsi="Arial" w:cs="Arial"/>
          <w:bCs/>
          <w:sz w:val="22"/>
          <w:szCs w:val="22"/>
          <w:lang w:val="en"/>
        </w:rPr>
        <w:t xml:space="preserve">At a </w:t>
      </w:r>
      <w:r w:rsidR="001A1D2C" w:rsidRPr="00FF74B5">
        <w:rPr>
          <w:rFonts w:ascii="Arial" w:hAnsi="Arial" w:cs="Arial"/>
          <w:bCs/>
          <w:sz w:val="22"/>
          <w:szCs w:val="22"/>
          <w:lang w:val="en"/>
        </w:rPr>
        <w:t>UK</w:t>
      </w:r>
      <w:r w:rsidRPr="00FF74B5">
        <w:rPr>
          <w:rFonts w:ascii="Arial" w:hAnsi="Arial" w:cs="Arial"/>
          <w:bCs/>
          <w:sz w:val="22"/>
          <w:szCs w:val="22"/>
          <w:lang w:val="en"/>
        </w:rPr>
        <w:t xml:space="preserve"> level, </w:t>
      </w:r>
      <w:bookmarkStart w:id="2" w:name="_Hlk34127288"/>
      <w:r w:rsidR="00DF4699" w:rsidRPr="00FF74B5">
        <w:rPr>
          <w:rFonts w:ascii="Arial" w:hAnsi="Arial" w:cs="Arial"/>
          <w:bCs/>
          <w:sz w:val="22"/>
          <w:szCs w:val="22"/>
          <w:lang w:val="en"/>
        </w:rPr>
        <w:t>Talent Acquisition initiatives continue to focus on increasing the proportion of females who we attract and recruit across all levels of the business. These include:</w:t>
      </w:r>
    </w:p>
    <w:p w14:paraId="0E0CD6E2" w14:textId="6333030A" w:rsidR="00DF4699" w:rsidRPr="00FF74B5" w:rsidRDefault="00DF4699"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 xml:space="preserve">Ensuring job adverts are worded </w:t>
      </w:r>
      <w:r w:rsidR="0076038A" w:rsidRPr="00FF74B5">
        <w:rPr>
          <w:rFonts w:ascii="Arial" w:hAnsi="Arial" w:cs="Arial"/>
          <w:sz w:val="22"/>
          <w:szCs w:val="22"/>
          <w:lang w:val="en"/>
        </w:rPr>
        <w:t>to be</w:t>
      </w:r>
      <w:r w:rsidRPr="00FF74B5">
        <w:rPr>
          <w:rFonts w:ascii="Arial" w:hAnsi="Arial" w:cs="Arial"/>
          <w:sz w:val="22"/>
          <w:szCs w:val="22"/>
          <w:lang w:val="en"/>
        </w:rPr>
        <w:t xml:space="preserve"> </w:t>
      </w:r>
      <w:r w:rsidR="004D34C9" w:rsidRPr="00FF74B5">
        <w:rPr>
          <w:rFonts w:ascii="Arial" w:hAnsi="Arial" w:cs="Arial"/>
          <w:sz w:val="22"/>
          <w:szCs w:val="22"/>
          <w:lang w:val="en"/>
        </w:rPr>
        <w:t>gender</w:t>
      </w:r>
      <w:r w:rsidR="004D34C9">
        <w:rPr>
          <w:rFonts w:ascii="Arial" w:hAnsi="Arial" w:cs="Arial"/>
          <w:sz w:val="22"/>
          <w:szCs w:val="22"/>
          <w:lang w:val="en"/>
        </w:rPr>
        <w:t xml:space="preserve"> neutral</w:t>
      </w:r>
      <w:r w:rsidR="004D34C9" w:rsidRPr="00FF74B5">
        <w:rPr>
          <w:rFonts w:ascii="Arial" w:hAnsi="Arial" w:cs="Arial"/>
          <w:sz w:val="22"/>
          <w:szCs w:val="22"/>
          <w:lang w:val="en"/>
        </w:rPr>
        <w:t>.</w:t>
      </w:r>
      <w:r w:rsidRPr="00FF74B5">
        <w:rPr>
          <w:rFonts w:ascii="Arial" w:hAnsi="Arial" w:cs="Arial"/>
          <w:sz w:val="22"/>
          <w:szCs w:val="22"/>
          <w:lang w:val="en"/>
        </w:rPr>
        <w:t xml:space="preserve"> </w:t>
      </w:r>
    </w:p>
    <w:p w14:paraId="415C74CC" w14:textId="2B3DD8FB" w:rsidR="00DF4699" w:rsidRPr="00FF74B5" w:rsidRDefault="00850272"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Invest</w:t>
      </w:r>
      <w:r w:rsidR="008654A1" w:rsidRPr="00FF74B5">
        <w:rPr>
          <w:rFonts w:ascii="Arial" w:hAnsi="Arial" w:cs="Arial"/>
          <w:sz w:val="22"/>
          <w:szCs w:val="22"/>
          <w:lang w:val="en"/>
        </w:rPr>
        <w:t>ing in</w:t>
      </w:r>
      <w:r w:rsidR="00106434" w:rsidRPr="00FF74B5">
        <w:rPr>
          <w:rFonts w:ascii="Arial" w:hAnsi="Arial" w:cs="Arial"/>
          <w:sz w:val="22"/>
          <w:szCs w:val="22"/>
          <w:lang w:val="en"/>
        </w:rPr>
        <w:t xml:space="preserve"> </w:t>
      </w:r>
      <w:r w:rsidR="00A463AB" w:rsidRPr="00FF74B5">
        <w:rPr>
          <w:rFonts w:ascii="Arial" w:hAnsi="Arial" w:cs="Arial"/>
          <w:sz w:val="22"/>
          <w:szCs w:val="22"/>
          <w:lang w:val="en"/>
        </w:rPr>
        <w:t>advertising our vacancies on</w:t>
      </w:r>
      <w:r w:rsidRPr="00FF74B5">
        <w:rPr>
          <w:rFonts w:ascii="Arial" w:hAnsi="Arial" w:cs="Arial"/>
          <w:sz w:val="22"/>
          <w:szCs w:val="22"/>
          <w:lang w:val="en"/>
        </w:rPr>
        <w:t xml:space="preserve"> </w:t>
      </w:r>
      <w:r w:rsidR="00106434" w:rsidRPr="00FF74B5">
        <w:rPr>
          <w:rFonts w:ascii="Arial" w:hAnsi="Arial" w:cs="Arial"/>
          <w:sz w:val="22"/>
          <w:szCs w:val="22"/>
          <w:lang w:val="en"/>
        </w:rPr>
        <w:t xml:space="preserve">female focused </w:t>
      </w:r>
      <w:r w:rsidR="00DF4699" w:rsidRPr="00FF74B5">
        <w:rPr>
          <w:rFonts w:ascii="Arial" w:hAnsi="Arial" w:cs="Arial"/>
          <w:sz w:val="22"/>
          <w:szCs w:val="22"/>
          <w:lang w:val="en"/>
        </w:rPr>
        <w:t xml:space="preserve">job sites </w:t>
      </w:r>
    </w:p>
    <w:p w14:paraId="0C8B149E" w14:textId="460A854E" w:rsidR="00E06920" w:rsidRPr="00FF74B5" w:rsidRDefault="005203D6"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Inves</w:t>
      </w:r>
      <w:r w:rsidR="008654A1" w:rsidRPr="00FF74B5">
        <w:rPr>
          <w:rFonts w:ascii="Arial" w:hAnsi="Arial" w:cs="Arial"/>
          <w:sz w:val="22"/>
          <w:szCs w:val="22"/>
          <w:lang w:val="en"/>
        </w:rPr>
        <w:t>ting</w:t>
      </w:r>
      <w:r w:rsidRPr="00FF74B5">
        <w:rPr>
          <w:rFonts w:ascii="Arial" w:hAnsi="Arial" w:cs="Arial"/>
          <w:sz w:val="22"/>
          <w:szCs w:val="22"/>
          <w:lang w:val="en"/>
        </w:rPr>
        <w:t xml:space="preserve"> in our</w:t>
      </w:r>
      <w:r w:rsidR="00673961" w:rsidRPr="00FF74B5">
        <w:rPr>
          <w:rFonts w:ascii="Arial" w:hAnsi="Arial" w:cs="Arial"/>
          <w:sz w:val="22"/>
          <w:szCs w:val="22"/>
          <w:lang w:val="en"/>
        </w:rPr>
        <w:t xml:space="preserve"> Women’s Inspired Network to </w:t>
      </w:r>
      <w:r w:rsidR="00AE7394" w:rsidRPr="00FF74B5">
        <w:rPr>
          <w:rFonts w:ascii="Arial" w:hAnsi="Arial" w:cs="Arial"/>
          <w:sz w:val="22"/>
          <w:szCs w:val="22"/>
          <w:lang w:val="en"/>
        </w:rPr>
        <w:t>develop,</w:t>
      </w:r>
      <w:r w:rsidR="00673961" w:rsidRPr="00FF74B5">
        <w:rPr>
          <w:rFonts w:ascii="Arial" w:hAnsi="Arial" w:cs="Arial"/>
          <w:sz w:val="22"/>
          <w:szCs w:val="22"/>
          <w:lang w:val="en"/>
        </w:rPr>
        <w:t xml:space="preserve"> support</w:t>
      </w:r>
      <w:r w:rsidR="00AE7394" w:rsidRPr="00FF74B5">
        <w:rPr>
          <w:rFonts w:ascii="Arial" w:hAnsi="Arial" w:cs="Arial"/>
          <w:sz w:val="22"/>
          <w:szCs w:val="22"/>
          <w:lang w:val="en"/>
        </w:rPr>
        <w:t xml:space="preserve"> and empower our female </w:t>
      </w:r>
      <w:r w:rsidR="008654A1" w:rsidRPr="00FF74B5">
        <w:rPr>
          <w:rFonts w:ascii="Arial" w:hAnsi="Arial" w:cs="Arial"/>
          <w:sz w:val="22"/>
          <w:szCs w:val="22"/>
          <w:lang w:val="en"/>
        </w:rPr>
        <w:t>colleagues</w:t>
      </w:r>
    </w:p>
    <w:p w14:paraId="22261F65" w14:textId="1BC5C108" w:rsidR="00DF4699" w:rsidRPr="00FF74B5" w:rsidRDefault="00DF4699"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Promoting</w:t>
      </w:r>
      <w:r w:rsidR="001D0708" w:rsidRPr="00FF74B5">
        <w:rPr>
          <w:rFonts w:ascii="Arial" w:hAnsi="Arial" w:cs="Arial"/>
          <w:sz w:val="22"/>
          <w:szCs w:val="22"/>
          <w:lang w:val="en"/>
        </w:rPr>
        <w:t xml:space="preserve"> our</w:t>
      </w:r>
      <w:r w:rsidRPr="00FF74B5">
        <w:rPr>
          <w:rFonts w:ascii="Arial" w:hAnsi="Arial" w:cs="Arial"/>
          <w:sz w:val="22"/>
          <w:szCs w:val="22"/>
          <w:lang w:val="en"/>
        </w:rPr>
        <w:t xml:space="preserve"> flexible and hybrid working</w:t>
      </w:r>
      <w:r w:rsidR="001D0708" w:rsidRPr="00FF74B5">
        <w:rPr>
          <w:rFonts w:ascii="Arial" w:hAnsi="Arial" w:cs="Arial"/>
          <w:sz w:val="22"/>
          <w:szCs w:val="22"/>
          <w:lang w:val="en"/>
        </w:rPr>
        <w:t xml:space="preserve"> offerings</w:t>
      </w:r>
      <w:r w:rsidRPr="00FF74B5">
        <w:rPr>
          <w:rFonts w:ascii="Arial" w:hAnsi="Arial" w:cs="Arial"/>
          <w:sz w:val="22"/>
          <w:szCs w:val="22"/>
          <w:lang w:val="en"/>
        </w:rPr>
        <w:t xml:space="preserve"> </w:t>
      </w:r>
    </w:p>
    <w:p w14:paraId="440FC405" w14:textId="7EA24CE2" w:rsidR="00DF4699" w:rsidRPr="00FF74B5" w:rsidRDefault="00DF4699"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 xml:space="preserve">Ensuring interview panels are gender </w:t>
      </w:r>
      <w:r w:rsidR="00DD58F1" w:rsidRPr="00FF74B5">
        <w:rPr>
          <w:rFonts w:ascii="Arial" w:hAnsi="Arial" w:cs="Arial"/>
          <w:sz w:val="22"/>
          <w:szCs w:val="22"/>
          <w:lang w:val="en"/>
        </w:rPr>
        <w:t>balanced</w:t>
      </w:r>
    </w:p>
    <w:p w14:paraId="336C83BF" w14:textId="2CAA16E0" w:rsidR="00FF74B5" w:rsidRPr="00FF74B5" w:rsidRDefault="00FF74B5" w:rsidP="00FF74B5">
      <w:pPr>
        <w:pStyle w:val="NormalWeb"/>
        <w:numPr>
          <w:ilvl w:val="0"/>
          <w:numId w:val="4"/>
        </w:numPr>
        <w:jc w:val="both"/>
        <w:rPr>
          <w:rFonts w:ascii="Arial" w:hAnsi="Arial" w:cs="Arial"/>
          <w:sz w:val="22"/>
          <w:szCs w:val="22"/>
          <w:lang w:val="en"/>
        </w:rPr>
      </w:pPr>
      <w:r w:rsidRPr="00FF74B5">
        <w:rPr>
          <w:rFonts w:ascii="Arial" w:hAnsi="Arial" w:cs="Arial"/>
          <w:sz w:val="22"/>
          <w:szCs w:val="22"/>
          <w:lang w:val="en"/>
        </w:rPr>
        <w:t>Educating hiring managers on unconscious bias</w:t>
      </w:r>
    </w:p>
    <w:p w14:paraId="251A4808" w14:textId="39F38ADA" w:rsidR="009862A8" w:rsidRDefault="00FF74B5" w:rsidP="00FF74B5">
      <w:pPr>
        <w:pStyle w:val="NormalWeb"/>
        <w:jc w:val="both"/>
        <w:rPr>
          <w:rFonts w:ascii="Arial" w:hAnsi="Arial" w:cs="Arial"/>
          <w:sz w:val="22"/>
          <w:szCs w:val="22"/>
          <w:lang w:val="en"/>
        </w:rPr>
      </w:pPr>
      <w:r w:rsidRPr="00FF74B5">
        <w:rPr>
          <w:rFonts w:ascii="Arial" w:hAnsi="Arial" w:cs="Arial"/>
          <w:sz w:val="22"/>
          <w:szCs w:val="22"/>
          <w:lang w:val="en"/>
        </w:rPr>
        <w:t xml:space="preserve">In </w:t>
      </w:r>
      <w:r w:rsidR="00951343" w:rsidRPr="00FF74B5">
        <w:rPr>
          <w:rFonts w:ascii="Arial" w:hAnsi="Arial" w:cs="Arial"/>
          <w:sz w:val="22"/>
          <w:szCs w:val="22"/>
          <w:lang w:val="en"/>
        </w:rPr>
        <w:t xml:space="preserve">addition to the steps above, the UK HR Leadership Team also review the </w:t>
      </w:r>
      <w:r w:rsidR="00CB6EBA" w:rsidRPr="00FF74B5">
        <w:rPr>
          <w:rFonts w:ascii="Arial" w:hAnsi="Arial" w:cs="Arial"/>
          <w:sz w:val="22"/>
          <w:szCs w:val="22"/>
          <w:lang w:val="en"/>
        </w:rPr>
        <w:t xml:space="preserve">exit interview and </w:t>
      </w:r>
      <w:r w:rsidR="00951343" w:rsidRPr="00FF74B5">
        <w:rPr>
          <w:rFonts w:ascii="Arial" w:hAnsi="Arial" w:cs="Arial"/>
          <w:sz w:val="22"/>
          <w:szCs w:val="22"/>
          <w:lang w:val="en"/>
        </w:rPr>
        <w:t xml:space="preserve">recruitment data on a quarterly basis </w:t>
      </w:r>
      <w:r w:rsidR="00221FD4" w:rsidRPr="00FF74B5">
        <w:rPr>
          <w:rFonts w:ascii="Arial" w:hAnsi="Arial" w:cs="Arial"/>
          <w:sz w:val="22"/>
          <w:szCs w:val="22"/>
          <w:lang w:val="en"/>
        </w:rPr>
        <w:t>to assess how our recruitment practices and</w:t>
      </w:r>
      <w:r w:rsidR="00763E72" w:rsidRPr="00FF74B5">
        <w:rPr>
          <w:rFonts w:ascii="Arial" w:hAnsi="Arial" w:cs="Arial"/>
          <w:sz w:val="22"/>
          <w:szCs w:val="22"/>
          <w:lang w:val="en"/>
        </w:rPr>
        <w:t xml:space="preserve"> work environment </w:t>
      </w:r>
      <w:r w:rsidR="00F34BB2" w:rsidRPr="00FF74B5">
        <w:rPr>
          <w:rFonts w:ascii="Arial" w:hAnsi="Arial" w:cs="Arial"/>
          <w:sz w:val="22"/>
          <w:szCs w:val="22"/>
          <w:lang w:val="en"/>
        </w:rPr>
        <w:t>are</w:t>
      </w:r>
      <w:r w:rsidR="00763E72" w:rsidRPr="00FF74B5">
        <w:rPr>
          <w:rFonts w:ascii="Arial" w:hAnsi="Arial" w:cs="Arial"/>
          <w:sz w:val="22"/>
          <w:szCs w:val="22"/>
          <w:lang w:val="en"/>
        </w:rPr>
        <w:t xml:space="preserve"> contributing to our </w:t>
      </w:r>
      <w:r w:rsidR="00F34BB2" w:rsidRPr="00FF74B5">
        <w:rPr>
          <w:rFonts w:ascii="Arial" w:hAnsi="Arial" w:cs="Arial"/>
          <w:sz w:val="22"/>
          <w:szCs w:val="22"/>
          <w:lang w:val="en"/>
        </w:rPr>
        <w:t xml:space="preserve">overall </w:t>
      </w:r>
      <w:r w:rsidR="00763E72" w:rsidRPr="00FF74B5">
        <w:rPr>
          <w:rFonts w:ascii="Arial" w:hAnsi="Arial" w:cs="Arial"/>
          <w:sz w:val="22"/>
          <w:szCs w:val="22"/>
          <w:lang w:val="en"/>
        </w:rPr>
        <w:t>objective to increase female representation across the organisation.</w:t>
      </w:r>
      <w:r w:rsidR="00221FD4" w:rsidRPr="00FF74B5">
        <w:rPr>
          <w:rFonts w:ascii="Arial" w:hAnsi="Arial" w:cs="Arial"/>
          <w:sz w:val="22"/>
          <w:szCs w:val="22"/>
          <w:lang w:val="en"/>
        </w:rPr>
        <w:t xml:space="preserve"> </w:t>
      </w:r>
    </w:p>
    <w:bookmarkEnd w:id="1"/>
    <w:bookmarkEnd w:id="2"/>
    <w:p w14:paraId="797298AD" w14:textId="5FA5F947" w:rsidR="003D6E86" w:rsidRDefault="003D6E86" w:rsidP="003D6E86">
      <w:pPr>
        <w:pStyle w:val="NormalWeb"/>
        <w:jc w:val="both"/>
        <w:rPr>
          <w:rFonts w:ascii="Arial" w:hAnsi="Arial" w:cs="Arial"/>
          <w:sz w:val="22"/>
          <w:szCs w:val="22"/>
          <w:lang w:val="en"/>
        </w:rPr>
      </w:pPr>
      <w:r w:rsidRPr="003D6E86">
        <w:rPr>
          <w:rFonts w:ascii="Arial" w:hAnsi="Arial" w:cs="Arial"/>
          <w:sz w:val="22"/>
          <w:szCs w:val="22"/>
          <w:lang w:val="en"/>
        </w:rPr>
        <w:t>I confirm that the gender pay gap calculations for Imperial Chemical Industries Limited are accurate and meet the requirements of the Regulations. </w:t>
      </w:r>
    </w:p>
    <w:p w14:paraId="7D58F9BF" w14:textId="5972163C" w:rsidR="003D6E86" w:rsidRDefault="003D6E86" w:rsidP="003D6E86">
      <w:pPr>
        <w:pStyle w:val="NormalWeb"/>
        <w:jc w:val="both"/>
        <w:rPr>
          <w:rFonts w:ascii="Arial" w:hAnsi="Arial" w:cs="Arial"/>
          <w:sz w:val="22"/>
          <w:szCs w:val="22"/>
          <w:lang w:val="en"/>
        </w:rPr>
      </w:pPr>
    </w:p>
    <w:p w14:paraId="2DDA086E" w14:textId="77777777" w:rsidR="00A75549" w:rsidRDefault="00A75549" w:rsidP="003D6E86">
      <w:pPr>
        <w:pStyle w:val="NormalWeb"/>
        <w:jc w:val="both"/>
        <w:rPr>
          <w:rFonts w:ascii="Arial" w:hAnsi="Arial" w:cs="Arial"/>
          <w:sz w:val="22"/>
          <w:szCs w:val="22"/>
          <w:lang w:val="en"/>
        </w:rPr>
      </w:pPr>
    </w:p>
    <w:p w14:paraId="2A70E0F6" w14:textId="47731050" w:rsidR="009C0DC3" w:rsidRPr="003D6E86" w:rsidRDefault="009C0DC3" w:rsidP="005640DA">
      <w:pPr>
        <w:pStyle w:val="NormalWeb"/>
        <w:rPr>
          <w:rFonts w:ascii="Arial" w:hAnsi="Arial" w:cs="Arial"/>
          <w:sz w:val="22"/>
          <w:szCs w:val="22"/>
          <w:lang w:val="en-IN"/>
        </w:rPr>
      </w:pPr>
    </w:p>
    <w:p w14:paraId="2445A9D3" w14:textId="555D0A32" w:rsidR="009C0DC3" w:rsidRPr="00035955" w:rsidRDefault="009C0DC3" w:rsidP="005640DA">
      <w:pPr>
        <w:pStyle w:val="NormalWeb"/>
        <w:rPr>
          <w:rFonts w:ascii="Arial" w:hAnsi="Arial" w:cs="Arial"/>
          <w:sz w:val="22"/>
          <w:szCs w:val="22"/>
          <w:lang w:val="en"/>
        </w:rPr>
      </w:pPr>
    </w:p>
    <w:sectPr w:rsidR="009C0DC3" w:rsidRPr="00035955" w:rsidSect="00C129AF">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7788" w14:textId="77777777" w:rsidR="0072262C" w:rsidRDefault="0072262C" w:rsidP="005640DA">
      <w:pPr>
        <w:spacing w:after="0" w:line="240" w:lineRule="auto"/>
      </w:pPr>
      <w:r>
        <w:separator/>
      </w:r>
    </w:p>
  </w:endnote>
  <w:endnote w:type="continuationSeparator" w:id="0">
    <w:p w14:paraId="3338587C" w14:textId="77777777" w:rsidR="0072262C" w:rsidRDefault="0072262C" w:rsidP="0056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54A1" w14:textId="77777777" w:rsidR="00CE15A9" w:rsidRDefault="00CE1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B165" w14:textId="77777777" w:rsidR="003C3039" w:rsidRDefault="003C3039">
    <w:pPr>
      <w:pStyle w:val="Footer"/>
    </w:pPr>
  </w:p>
  <w:p w14:paraId="4E74C7AE" w14:textId="2FC6AD8B" w:rsidR="00CE15A9" w:rsidRPr="00982C74" w:rsidRDefault="00CE15A9" w:rsidP="00CE15A9">
    <w:pPr>
      <w:pStyle w:val="ANRegister"/>
      <w:framePr w:wrap="around" w:hAnchor="page" w:x="1261" w:y="15841"/>
      <w:rPr>
        <w:lang w:val="en-US"/>
      </w:rPr>
    </w:pPr>
    <w:r>
      <w:rPr>
        <w:lang w:val="en-US"/>
      </w:rPr>
      <w:t>Registered O</w:t>
    </w:r>
    <w:r w:rsidRPr="00982C74">
      <w:rPr>
        <w:lang w:val="en-US"/>
      </w:rPr>
      <w:t>ffice</w:t>
    </w:r>
    <w:r>
      <w:rPr>
        <w:lang w:val="en-US"/>
      </w:rPr>
      <w:t xml:space="preserve">:  The AkzoNobel Building, Wexham Road, Slough SL2 5DS.  </w:t>
    </w:r>
    <w:r w:rsidRPr="00982C74">
      <w:rPr>
        <w:lang w:val="en-US"/>
      </w:rPr>
      <w:t xml:space="preserve">Registered number </w:t>
    </w:r>
    <w:r>
      <w:rPr>
        <w:lang w:val="en-US"/>
      </w:rPr>
      <w:t>00</w:t>
    </w:r>
    <w:r w:rsidR="00FB5952">
      <w:rPr>
        <w:lang w:val="en-US"/>
      </w:rPr>
      <w:t>218019</w:t>
    </w:r>
  </w:p>
  <w:p w14:paraId="6963C7F1" w14:textId="77777777" w:rsidR="00867328" w:rsidRDefault="00867328" w:rsidP="00CE1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48D5" w14:textId="77777777" w:rsidR="00CE15A9" w:rsidRDefault="00CE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35C6" w14:textId="77777777" w:rsidR="0072262C" w:rsidRDefault="0072262C" w:rsidP="005640DA">
      <w:pPr>
        <w:spacing w:after="0" w:line="240" w:lineRule="auto"/>
      </w:pPr>
      <w:r>
        <w:separator/>
      </w:r>
    </w:p>
  </w:footnote>
  <w:footnote w:type="continuationSeparator" w:id="0">
    <w:p w14:paraId="7C53358C" w14:textId="77777777" w:rsidR="0072262C" w:rsidRDefault="0072262C" w:rsidP="0056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994E" w14:textId="77777777" w:rsidR="00CE15A9" w:rsidRDefault="00CE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97E8" w14:textId="62581E12" w:rsidR="000B2CBD" w:rsidRPr="000B2CBD" w:rsidRDefault="000B2CBD" w:rsidP="000B2CBD">
    <w:pPr>
      <w:pStyle w:val="ANLegalEntity"/>
      <w:framePr w:wrap="around" w:hAnchor="page" w:x="1231" w:y="481"/>
      <w:rPr>
        <w:rFonts w:ascii="Arial" w:hAnsi="Arial" w:cs="Arial"/>
      </w:rPr>
    </w:pPr>
    <w:r w:rsidRPr="000B2CBD">
      <w:rPr>
        <w:rFonts w:ascii="Arial" w:hAnsi="Arial" w:cs="Arial"/>
        <w:noProof/>
        <w:lang w:eastAsia="zh-CN"/>
      </w:rPr>
      <w:drawing>
        <wp:anchor distT="0" distB="0" distL="114300" distR="114300" simplePos="0" relativeHeight="251659264" behindDoc="1" locked="1" layoutInCell="0" allowOverlap="1" wp14:anchorId="3BF8D4DD" wp14:editId="5627FDD9">
          <wp:simplePos x="0" y="0"/>
          <wp:positionH relativeFrom="page">
            <wp:posOffset>-1118870</wp:posOffset>
          </wp:positionH>
          <wp:positionV relativeFrom="page">
            <wp:posOffset>-424815</wp:posOffset>
          </wp:positionV>
          <wp:extent cx="7773035" cy="1158240"/>
          <wp:effectExtent l="19050" t="0" r="0" b="0"/>
          <wp:wrapNone/>
          <wp:docPr id="8" name="Picture 1" descr="A white background with black and white clou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descr="A white background with black and white clouds&#10;&#10;Description automatically generated"/>
                  <pic:cNvPicPr/>
                </pic:nvPicPr>
                <pic:blipFill>
                  <a:blip r:embed="rId1"/>
                  <a:stretch>
                    <a:fillRect/>
                  </a:stretch>
                </pic:blipFill>
                <pic:spPr>
                  <a:xfrm>
                    <a:off x="0" y="0"/>
                    <a:ext cx="7773035" cy="1158240"/>
                  </a:xfrm>
                  <a:prstGeom prst="rect">
                    <a:avLst/>
                  </a:prstGeom>
                  <a:noFill/>
                  <a:ln>
                    <a:noFill/>
                  </a:ln>
                </pic:spPr>
              </pic:pic>
            </a:graphicData>
          </a:graphic>
        </wp:anchor>
      </w:drawing>
    </w:r>
    <w:r w:rsidRPr="000B2CBD">
      <w:rPr>
        <w:rFonts w:ascii="Arial" w:hAnsi="Arial" w:cs="Arial"/>
      </w:rPr>
      <w:t>Imperial Chemical Industries Limited</w:t>
    </w:r>
  </w:p>
  <w:p w14:paraId="5E42991D" w14:textId="77777777" w:rsidR="000B2CBD" w:rsidRDefault="000B2CBD" w:rsidP="000B2CBD">
    <w:pPr>
      <w:pStyle w:val="ANDepartment"/>
      <w:framePr w:wrap="around" w:hAnchor="page" w:x="1231" w:y="481"/>
    </w:pPr>
  </w:p>
  <w:p w14:paraId="1879043D" w14:textId="77777777" w:rsidR="000B2CBD" w:rsidRDefault="000B2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9F20" w14:textId="77777777" w:rsidR="00CE15A9" w:rsidRDefault="00CE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EAB"/>
    <w:multiLevelType w:val="hybridMultilevel"/>
    <w:tmpl w:val="2D9A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5815"/>
    <w:multiLevelType w:val="hybridMultilevel"/>
    <w:tmpl w:val="BB52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D62E4"/>
    <w:multiLevelType w:val="hybridMultilevel"/>
    <w:tmpl w:val="453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E3404"/>
    <w:multiLevelType w:val="hybridMultilevel"/>
    <w:tmpl w:val="93D24B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068726043">
    <w:abstractNumId w:val="0"/>
  </w:num>
  <w:num w:numId="2" w16cid:durableId="1317302292">
    <w:abstractNumId w:val="2"/>
  </w:num>
  <w:num w:numId="3" w16cid:durableId="2062746362">
    <w:abstractNumId w:val="3"/>
  </w:num>
  <w:num w:numId="4" w16cid:durableId="154235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90"/>
    <w:rsid w:val="00005DF4"/>
    <w:rsid w:val="00006015"/>
    <w:rsid w:val="00027513"/>
    <w:rsid w:val="00035955"/>
    <w:rsid w:val="00040EF1"/>
    <w:rsid w:val="00056FB4"/>
    <w:rsid w:val="00064F9A"/>
    <w:rsid w:val="00077784"/>
    <w:rsid w:val="00085EFA"/>
    <w:rsid w:val="000963C0"/>
    <w:rsid w:val="000A3BED"/>
    <w:rsid w:val="000B2CBD"/>
    <w:rsid w:val="000C4329"/>
    <w:rsid w:val="00102939"/>
    <w:rsid w:val="00103218"/>
    <w:rsid w:val="00106434"/>
    <w:rsid w:val="0012676C"/>
    <w:rsid w:val="00134741"/>
    <w:rsid w:val="00143130"/>
    <w:rsid w:val="00166217"/>
    <w:rsid w:val="00184351"/>
    <w:rsid w:val="001843CC"/>
    <w:rsid w:val="0018633B"/>
    <w:rsid w:val="00195278"/>
    <w:rsid w:val="001A1D2C"/>
    <w:rsid w:val="001C3283"/>
    <w:rsid w:val="001D0708"/>
    <w:rsid w:val="001F05C7"/>
    <w:rsid w:val="001F73EB"/>
    <w:rsid w:val="001F7FA1"/>
    <w:rsid w:val="00221FD4"/>
    <w:rsid w:val="0022414D"/>
    <w:rsid w:val="00225099"/>
    <w:rsid w:val="00225A14"/>
    <w:rsid w:val="00230910"/>
    <w:rsid w:val="00241A03"/>
    <w:rsid w:val="00243B3B"/>
    <w:rsid w:val="002440B8"/>
    <w:rsid w:val="0026226E"/>
    <w:rsid w:val="00263E95"/>
    <w:rsid w:val="00274288"/>
    <w:rsid w:val="00274A03"/>
    <w:rsid w:val="002774EC"/>
    <w:rsid w:val="00296442"/>
    <w:rsid w:val="002B47C9"/>
    <w:rsid w:val="002C2B26"/>
    <w:rsid w:val="002E40EE"/>
    <w:rsid w:val="003038ED"/>
    <w:rsid w:val="00316946"/>
    <w:rsid w:val="00322DA1"/>
    <w:rsid w:val="003233CD"/>
    <w:rsid w:val="0032372D"/>
    <w:rsid w:val="003240BB"/>
    <w:rsid w:val="003370FF"/>
    <w:rsid w:val="00346104"/>
    <w:rsid w:val="00352D9B"/>
    <w:rsid w:val="00370FAB"/>
    <w:rsid w:val="003A1B8F"/>
    <w:rsid w:val="003A406B"/>
    <w:rsid w:val="003C3039"/>
    <w:rsid w:val="003D5D1E"/>
    <w:rsid w:val="003D6E86"/>
    <w:rsid w:val="003F1255"/>
    <w:rsid w:val="003F5654"/>
    <w:rsid w:val="00443305"/>
    <w:rsid w:val="00481777"/>
    <w:rsid w:val="00484EAC"/>
    <w:rsid w:val="004914F4"/>
    <w:rsid w:val="004B128B"/>
    <w:rsid w:val="004C0621"/>
    <w:rsid w:val="004D34C9"/>
    <w:rsid w:val="004D6D5A"/>
    <w:rsid w:val="004F5F7F"/>
    <w:rsid w:val="00502617"/>
    <w:rsid w:val="00511FB1"/>
    <w:rsid w:val="005165FC"/>
    <w:rsid w:val="005203D6"/>
    <w:rsid w:val="00521126"/>
    <w:rsid w:val="0052137F"/>
    <w:rsid w:val="005319EA"/>
    <w:rsid w:val="00531BB4"/>
    <w:rsid w:val="00536FCA"/>
    <w:rsid w:val="005443D1"/>
    <w:rsid w:val="005565D5"/>
    <w:rsid w:val="005640DA"/>
    <w:rsid w:val="00577B50"/>
    <w:rsid w:val="005B0A62"/>
    <w:rsid w:val="005B652D"/>
    <w:rsid w:val="005D7F3A"/>
    <w:rsid w:val="005E14EB"/>
    <w:rsid w:val="005F4759"/>
    <w:rsid w:val="00612436"/>
    <w:rsid w:val="006254D4"/>
    <w:rsid w:val="00631A35"/>
    <w:rsid w:val="0063744C"/>
    <w:rsid w:val="006655C5"/>
    <w:rsid w:val="00671387"/>
    <w:rsid w:val="00673961"/>
    <w:rsid w:val="00677255"/>
    <w:rsid w:val="006819C8"/>
    <w:rsid w:val="006877ED"/>
    <w:rsid w:val="006A4DED"/>
    <w:rsid w:val="006D5538"/>
    <w:rsid w:val="006F3E7B"/>
    <w:rsid w:val="0071201B"/>
    <w:rsid w:val="0072262C"/>
    <w:rsid w:val="007462E9"/>
    <w:rsid w:val="0076038A"/>
    <w:rsid w:val="00763E72"/>
    <w:rsid w:val="00793865"/>
    <w:rsid w:val="007A136A"/>
    <w:rsid w:val="007C0B22"/>
    <w:rsid w:val="007D678F"/>
    <w:rsid w:val="0081298E"/>
    <w:rsid w:val="008210AF"/>
    <w:rsid w:val="00850272"/>
    <w:rsid w:val="00857B3C"/>
    <w:rsid w:val="008654A1"/>
    <w:rsid w:val="00867328"/>
    <w:rsid w:val="00897D9C"/>
    <w:rsid w:val="008A3495"/>
    <w:rsid w:val="008B634F"/>
    <w:rsid w:val="008C5B8D"/>
    <w:rsid w:val="008E2C4B"/>
    <w:rsid w:val="008E5A01"/>
    <w:rsid w:val="009038FD"/>
    <w:rsid w:val="0091264C"/>
    <w:rsid w:val="00935BEE"/>
    <w:rsid w:val="00936296"/>
    <w:rsid w:val="00943BE1"/>
    <w:rsid w:val="00951343"/>
    <w:rsid w:val="00952449"/>
    <w:rsid w:val="009618A6"/>
    <w:rsid w:val="0098447B"/>
    <w:rsid w:val="009862A8"/>
    <w:rsid w:val="009930B3"/>
    <w:rsid w:val="009C0DC3"/>
    <w:rsid w:val="009E7D31"/>
    <w:rsid w:val="009F4D15"/>
    <w:rsid w:val="00A00FBA"/>
    <w:rsid w:val="00A125D4"/>
    <w:rsid w:val="00A2139C"/>
    <w:rsid w:val="00A217A0"/>
    <w:rsid w:val="00A3162A"/>
    <w:rsid w:val="00A463AB"/>
    <w:rsid w:val="00A5531D"/>
    <w:rsid w:val="00A56477"/>
    <w:rsid w:val="00A65CA5"/>
    <w:rsid w:val="00A67F52"/>
    <w:rsid w:val="00A7287C"/>
    <w:rsid w:val="00A73E6F"/>
    <w:rsid w:val="00A75549"/>
    <w:rsid w:val="00A81376"/>
    <w:rsid w:val="00A8353C"/>
    <w:rsid w:val="00A854C1"/>
    <w:rsid w:val="00AA0A29"/>
    <w:rsid w:val="00AB5CEC"/>
    <w:rsid w:val="00AC7402"/>
    <w:rsid w:val="00AE7394"/>
    <w:rsid w:val="00B20A54"/>
    <w:rsid w:val="00B334EB"/>
    <w:rsid w:val="00B40ECA"/>
    <w:rsid w:val="00B64E98"/>
    <w:rsid w:val="00B73F29"/>
    <w:rsid w:val="00B73F6C"/>
    <w:rsid w:val="00B81F24"/>
    <w:rsid w:val="00B83109"/>
    <w:rsid w:val="00B9376B"/>
    <w:rsid w:val="00BB2ECC"/>
    <w:rsid w:val="00BD72BC"/>
    <w:rsid w:val="00BE1A22"/>
    <w:rsid w:val="00C02CD0"/>
    <w:rsid w:val="00C049E9"/>
    <w:rsid w:val="00C04E0D"/>
    <w:rsid w:val="00C07CFD"/>
    <w:rsid w:val="00C129AF"/>
    <w:rsid w:val="00C142E4"/>
    <w:rsid w:val="00C30990"/>
    <w:rsid w:val="00C45A46"/>
    <w:rsid w:val="00C503D4"/>
    <w:rsid w:val="00C51AD8"/>
    <w:rsid w:val="00C64242"/>
    <w:rsid w:val="00C80EB0"/>
    <w:rsid w:val="00C8701A"/>
    <w:rsid w:val="00CA69C8"/>
    <w:rsid w:val="00CB6EBA"/>
    <w:rsid w:val="00CC7471"/>
    <w:rsid w:val="00CE15A9"/>
    <w:rsid w:val="00CF0F76"/>
    <w:rsid w:val="00D30B3C"/>
    <w:rsid w:val="00D61EE9"/>
    <w:rsid w:val="00D6443A"/>
    <w:rsid w:val="00D95631"/>
    <w:rsid w:val="00D96687"/>
    <w:rsid w:val="00DA1250"/>
    <w:rsid w:val="00DA3CB5"/>
    <w:rsid w:val="00DB7095"/>
    <w:rsid w:val="00DC6386"/>
    <w:rsid w:val="00DD58F1"/>
    <w:rsid w:val="00DF315E"/>
    <w:rsid w:val="00DF4699"/>
    <w:rsid w:val="00DF58BE"/>
    <w:rsid w:val="00E06920"/>
    <w:rsid w:val="00E20FC2"/>
    <w:rsid w:val="00E42ECE"/>
    <w:rsid w:val="00E45671"/>
    <w:rsid w:val="00E612F1"/>
    <w:rsid w:val="00E63FB6"/>
    <w:rsid w:val="00E64AEB"/>
    <w:rsid w:val="00E74676"/>
    <w:rsid w:val="00E76962"/>
    <w:rsid w:val="00E8532B"/>
    <w:rsid w:val="00E91C45"/>
    <w:rsid w:val="00E9503F"/>
    <w:rsid w:val="00EB50B7"/>
    <w:rsid w:val="00EC2913"/>
    <w:rsid w:val="00EC677C"/>
    <w:rsid w:val="00ED0D74"/>
    <w:rsid w:val="00ED3E46"/>
    <w:rsid w:val="00EE0F40"/>
    <w:rsid w:val="00EE1658"/>
    <w:rsid w:val="00EE5197"/>
    <w:rsid w:val="00EF35E1"/>
    <w:rsid w:val="00F11532"/>
    <w:rsid w:val="00F232A1"/>
    <w:rsid w:val="00F34BB2"/>
    <w:rsid w:val="00F47874"/>
    <w:rsid w:val="00F61721"/>
    <w:rsid w:val="00F61F98"/>
    <w:rsid w:val="00F64C6A"/>
    <w:rsid w:val="00F754D0"/>
    <w:rsid w:val="00FA666F"/>
    <w:rsid w:val="00FB0191"/>
    <w:rsid w:val="00FB4369"/>
    <w:rsid w:val="00FB4692"/>
    <w:rsid w:val="00FB5952"/>
    <w:rsid w:val="00FC5C5F"/>
    <w:rsid w:val="00FF04DD"/>
    <w:rsid w:val="00FF537B"/>
    <w:rsid w:val="00FF58A7"/>
    <w:rsid w:val="00FF74B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C75E"/>
  <w15:docId w15:val="{5419C676-1B94-4C9F-B88B-C0FA259E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6E8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9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23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2A1"/>
    <w:rPr>
      <w:rFonts w:ascii="Tahoma" w:hAnsi="Tahoma" w:cs="Tahoma"/>
      <w:sz w:val="16"/>
      <w:szCs w:val="16"/>
    </w:rPr>
  </w:style>
  <w:style w:type="paragraph" w:styleId="Header">
    <w:name w:val="header"/>
    <w:basedOn w:val="Normal"/>
    <w:link w:val="HeaderChar"/>
    <w:uiPriority w:val="99"/>
    <w:unhideWhenUsed/>
    <w:rsid w:val="00564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DA"/>
  </w:style>
  <w:style w:type="paragraph" w:styleId="Footer">
    <w:name w:val="footer"/>
    <w:basedOn w:val="Normal"/>
    <w:link w:val="FooterChar"/>
    <w:uiPriority w:val="99"/>
    <w:unhideWhenUsed/>
    <w:rsid w:val="00564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DA"/>
  </w:style>
  <w:style w:type="table" w:styleId="TableGrid">
    <w:name w:val="Table Grid"/>
    <w:basedOn w:val="TableNormal"/>
    <w:uiPriority w:val="59"/>
    <w:rsid w:val="00E7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329"/>
    <w:rPr>
      <w:sz w:val="16"/>
      <w:szCs w:val="16"/>
    </w:rPr>
  </w:style>
  <w:style w:type="paragraph" w:styleId="CommentText">
    <w:name w:val="annotation text"/>
    <w:basedOn w:val="Normal"/>
    <w:link w:val="CommentTextChar"/>
    <w:uiPriority w:val="99"/>
    <w:semiHidden/>
    <w:unhideWhenUsed/>
    <w:rsid w:val="000C4329"/>
    <w:pPr>
      <w:spacing w:line="240" w:lineRule="auto"/>
    </w:pPr>
    <w:rPr>
      <w:sz w:val="20"/>
      <w:szCs w:val="20"/>
    </w:rPr>
  </w:style>
  <w:style w:type="character" w:customStyle="1" w:styleId="CommentTextChar">
    <w:name w:val="Comment Text Char"/>
    <w:basedOn w:val="DefaultParagraphFont"/>
    <w:link w:val="CommentText"/>
    <w:uiPriority w:val="99"/>
    <w:semiHidden/>
    <w:rsid w:val="000C4329"/>
    <w:rPr>
      <w:sz w:val="20"/>
      <w:szCs w:val="20"/>
    </w:rPr>
  </w:style>
  <w:style w:type="paragraph" w:styleId="CommentSubject">
    <w:name w:val="annotation subject"/>
    <w:basedOn w:val="CommentText"/>
    <w:next w:val="CommentText"/>
    <w:link w:val="CommentSubjectChar"/>
    <w:uiPriority w:val="99"/>
    <w:semiHidden/>
    <w:unhideWhenUsed/>
    <w:rsid w:val="000C4329"/>
    <w:rPr>
      <w:b/>
      <w:bCs/>
    </w:rPr>
  </w:style>
  <w:style w:type="character" w:customStyle="1" w:styleId="CommentSubjectChar">
    <w:name w:val="Comment Subject Char"/>
    <w:basedOn w:val="CommentTextChar"/>
    <w:link w:val="CommentSubject"/>
    <w:uiPriority w:val="99"/>
    <w:semiHidden/>
    <w:rsid w:val="000C4329"/>
    <w:rPr>
      <w:b/>
      <w:bCs/>
      <w:sz w:val="20"/>
      <w:szCs w:val="20"/>
    </w:rPr>
  </w:style>
  <w:style w:type="paragraph" w:styleId="Revision">
    <w:name w:val="Revision"/>
    <w:hidden/>
    <w:uiPriority w:val="99"/>
    <w:semiHidden/>
    <w:rsid w:val="00A56477"/>
    <w:pPr>
      <w:spacing w:after="0" w:line="240" w:lineRule="auto"/>
    </w:pPr>
  </w:style>
  <w:style w:type="character" w:customStyle="1" w:styleId="Heading2Char">
    <w:name w:val="Heading 2 Char"/>
    <w:basedOn w:val="DefaultParagraphFont"/>
    <w:link w:val="Heading2"/>
    <w:uiPriority w:val="9"/>
    <w:rsid w:val="003D6E86"/>
    <w:rPr>
      <w:rFonts w:ascii="Times New Roman" w:eastAsia="Times New Roman" w:hAnsi="Times New Roman" w:cs="Times New Roman"/>
      <w:b/>
      <w:bCs/>
      <w:sz w:val="36"/>
      <w:szCs w:val="36"/>
      <w:lang w:val="en-IN" w:eastAsia="en-IN"/>
    </w:rPr>
  </w:style>
  <w:style w:type="character" w:customStyle="1" w:styleId="header-03">
    <w:name w:val="header-03"/>
    <w:basedOn w:val="DefaultParagraphFont"/>
    <w:rsid w:val="003D6E86"/>
  </w:style>
  <w:style w:type="paragraph" w:customStyle="1" w:styleId="ANLegalEntity">
    <w:name w:val="AN Legal Entity"/>
    <w:next w:val="ANDepartment"/>
    <w:qFormat/>
    <w:rsid w:val="000B2CBD"/>
    <w:pPr>
      <w:framePr w:w="5103" w:wrap="around" w:vAnchor="page" w:hAnchor="margin" w:y="937" w:anchorLock="1"/>
      <w:spacing w:after="0" w:line="180" w:lineRule="exact"/>
    </w:pPr>
    <w:rPr>
      <w:rFonts w:asciiTheme="majorHAnsi" w:eastAsiaTheme="minorHAnsi" w:hAnsiTheme="majorHAnsi"/>
      <w:b/>
      <w:color w:val="005596"/>
      <w:spacing w:val="-1"/>
      <w:sz w:val="16"/>
      <w:szCs w:val="16"/>
      <w:lang w:val="en-US" w:eastAsia="en-US"/>
    </w:rPr>
  </w:style>
  <w:style w:type="paragraph" w:customStyle="1" w:styleId="ANDepartment">
    <w:name w:val="AN Department"/>
    <w:basedOn w:val="ANLegalEntity"/>
    <w:qFormat/>
    <w:rsid w:val="000B2CBD"/>
    <w:pPr>
      <w:framePr w:wrap="around"/>
    </w:pPr>
    <w:rPr>
      <w:b w:val="0"/>
      <w:color w:val="005192"/>
    </w:rPr>
  </w:style>
  <w:style w:type="paragraph" w:customStyle="1" w:styleId="ANRegister">
    <w:name w:val="AN Register"/>
    <w:basedOn w:val="Header"/>
    <w:qFormat/>
    <w:rsid w:val="00CE15A9"/>
    <w:pPr>
      <w:framePr w:wrap="around" w:vAnchor="page" w:hAnchor="text" w:y="15251" w:anchorLock="1"/>
      <w:tabs>
        <w:tab w:val="clear" w:pos="4513"/>
        <w:tab w:val="clear" w:pos="9026"/>
        <w:tab w:val="center" w:pos="4536"/>
        <w:tab w:val="right" w:pos="9072"/>
      </w:tabs>
    </w:pPr>
    <w:rPr>
      <w:rFonts w:asciiTheme="minorHAnsi" w:eastAsiaTheme="minorHAnsi" w:hAnsiTheme="minorHAnsi"/>
      <w:color w:val="005192"/>
      <w:spacing w:val="-1"/>
      <w:sz w:val="12"/>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9543">
      <w:bodyDiv w:val="1"/>
      <w:marLeft w:val="0"/>
      <w:marRight w:val="0"/>
      <w:marTop w:val="0"/>
      <w:marBottom w:val="0"/>
      <w:divBdr>
        <w:top w:val="none" w:sz="0" w:space="0" w:color="auto"/>
        <w:left w:val="none" w:sz="0" w:space="0" w:color="auto"/>
        <w:bottom w:val="none" w:sz="0" w:space="0" w:color="auto"/>
        <w:right w:val="none" w:sz="0" w:space="0" w:color="auto"/>
      </w:divBdr>
    </w:div>
    <w:div w:id="334265043">
      <w:bodyDiv w:val="1"/>
      <w:marLeft w:val="0"/>
      <w:marRight w:val="0"/>
      <w:marTop w:val="0"/>
      <w:marBottom w:val="0"/>
      <w:divBdr>
        <w:top w:val="none" w:sz="0" w:space="0" w:color="auto"/>
        <w:left w:val="none" w:sz="0" w:space="0" w:color="auto"/>
        <w:bottom w:val="none" w:sz="0" w:space="0" w:color="auto"/>
        <w:right w:val="none" w:sz="0" w:space="0" w:color="auto"/>
      </w:divBdr>
    </w:div>
    <w:div w:id="375814059">
      <w:bodyDiv w:val="1"/>
      <w:marLeft w:val="0"/>
      <w:marRight w:val="0"/>
      <w:marTop w:val="0"/>
      <w:marBottom w:val="0"/>
      <w:divBdr>
        <w:top w:val="none" w:sz="0" w:space="0" w:color="auto"/>
        <w:left w:val="none" w:sz="0" w:space="0" w:color="auto"/>
        <w:bottom w:val="none" w:sz="0" w:space="0" w:color="auto"/>
        <w:right w:val="none" w:sz="0" w:space="0" w:color="auto"/>
      </w:divBdr>
    </w:div>
    <w:div w:id="790367148">
      <w:bodyDiv w:val="1"/>
      <w:marLeft w:val="0"/>
      <w:marRight w:val="0"/>
      <w:marTop w:val="0"/>
      <w:marBottom w:val="0"/>
      <w:divBdr>
        <w:top w:val="none" w:sz="0" w:space="0" w:color="auto"/>
        <w:left w:val="none" w:sz="0" w:space="0" w:color="auto"/>
        <w:bottom w:val="none" w:sz="0" w:space="0" w:color="auto"/>
        <w:right w:val="none" w:sz="0" w:space="0" w:color="auto"/>
      </w:divBdr>
    </w:div>
    <w:div w:id="799300615">
      <w:bodyDiv w:val="1"/>
      <w:marLeft w:val="0"/>
      <w:marRight w:val="0"/>
      <w:marTop w:val="0"/>
      <w:marBottom w:val="0"/>
      <w:divBdr>
        <w:top w:val="none" w:sz="0" w:space="0" w:color="auto"/>
        <w:left w:val="none" w:sz="0" w:space="0" w:color="auto"/>
        <w:bottom w:val="none" w:sz="0" w:space="0" w:color="auto"/>
        <w:right w:val="none" w:sz="0" w:space="0" w:color="auto"/>
      </w:divBdr>
      <w:divsChild>
        <w:div w:id="1224102075">
          <w:marLeft w:val="0"/>
          <w:marRight w:val="0"/>
          <w:marTop w:val="0"/>
          <w:marBottom w:val="0"/>
          <w:divBdr>
            <w:top w:val="none" w:sz="0" w:space="0" w:color="auto"/>
            <w:left w:val="none" w:sz="0" w:space="0" w:color="auto"/>
            <w:bottom w:val="none" w:sz="0" w:space="0" w:color="auto"/>
            <w:right w:val="none" w:sz="0" w:space="0" w:color="auto"/>
          </w:divBdr>
          <w:divsChild>
            <w:div w:id="742337384">
              <w:marLeft w:val="0"/>
              <w:marRight w:val="0"/>
              <w:marTop w:val="0"/>
              <w:marBottom w:val="0"/>
              <w:divBdr>
                <w:top w:val="none" w:sz="0" w:space="0" w:color="auto"/>
                <w:left w:val="none" w:sz="0" w:space="0" w:color="auto"/>
                <w:bottom w:val="none" w:sz="0" w:space="0" w:color="auto"/>
                <w:right w:val="none" w:sz="0" w:space="0" w:color="auto"/>
              </w:divBdr>
              <w:divsChild>
                <w:div w:id="1136800489">
                  <w:marLeft w:val="0"/>
                  <w:marRight w:val="0"/>
                  <w:marTop w:val="0"/>
                  <w:marBottom w:val="0"/>
                  <w:divBdr>
                    <w:top w:val="none" w:sz="0" w:space="0" w:color="auto"/>
                    <w:left w:val="none" w:sz="0" w:space="0" w:color="auto"/>
                    <w:bottom w:val="none" w:sz="0" w:space="0" w:color="auto"/>
                    <w:right w:val="none" w:sz="0" w:space="0" w:color="auto"/>
                  </w:divBdr>
                  <w:divsChild>
                    <w:div w:id="51855840">
                      <w:marLeft w:val="0"/>
                      <w:marRight w:val="0"/>
                      <w:marTop w:val="0"/>
                      <w:marBottom w:val="0"/>
                      <w:divBdr>
                        <w:top w:val="none" w:sz="0" w:space="0" w:color="auto"/>
                        <w:left w:val="none" w:sz="0" w:space="0" w:color="auto"/>
                        <w:bottom w:val="none" w:sz="0" w:space="0" w:color="auto"/>
                        <w:right w:val="none" w:sz="0" w:space="0" w:color="auto"/>
                      </w:divBdr>
                      <w:divsChild>
                        <w:div w:id="1562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715129">
      <w:bodyDiv w:val="1"/>
      <w:marLeft w:val="0"/>
      <w:marRight w:val="0"/>
      <w:marTop w:val="0"/>
      <w:marBottom w:val="0"/>
      <w:divBdr>
        <w:top w:val="none" w:sz="0" w:space="0" w:color="auto"/>
        <w:left w:val="none" w:sz="0" w:space="0" w:color="auto"/>
        <w:bottom w:val="none" w:sz="0" w:space="0" w:color="auto"/>
        <w:right w:val="none" w:sz="0" w:space="0" w:color="auto"/>
      </w:divBdr>
    </w:div>
    <w:div w:id="1533420612">
      <w:bodyDiv w:val="1"/>
      <w:marLeft w:val="0"/>
      <w:marRight w:val="0"/>
      <w:marTop w:val="0"/>
      <w:marBottom w:val="0"/>
      <w:divBdr>
        <w:top w:val="none" w:sz="0" w:space="0" w:color="auto"/>
        <w:left w:val="none" w:sz="0" w:space="0" w:color="auto"/>
        <w:bottom w:val="none" w:sz="0" w:space="0" w:color="auto"/>
        <w:right w:val="none" w:sz="0" w:space="0" w:color="auto"/>
      </w:divBdr>
    </w:div>
    <w:div w:id="1656296754">
      <w:bodyDiv w:val="1"/>
      <w:marLeft w:val="0"/>
      <w:marRight w:val="0"/>
      <w:marTop w:val="0"/>
      <w:marBottom w:val="0"/>
      <w:divBdr>
        <w:top w:val="none" w:sz="0" w:space="0" w:color="auto"/>
        <w:left w:val="none" w:sz="0" w:space="0" w:color="auto"/>
        <w:bottom w:val="none" w:sz="0" w:space="0" w:color="auto"/>
        <w:right w:val="none" w:sz="0" w:space="0" w:color="auto"/>
      </w:divBdr>
    </w:div>
    <w:div w:id="17124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3" ma:contentTypeDescription="Create a new document." ma:contentTypeScope="" ma:versionID="0dbb392bd4b81c2250f9ee96e0afd83c">
  <xsd:schema xmlns:xsd="http://www.w3.org/2001/XMLSchema" xmlns:xs="http://www.w3.org/2001/XMLSchema" xmlns:p="http://schemas.microsoft.com/office/2006/metadata/properties" xmlns:ns3="698e05cf-807a-4609-b4a0-cb865f8e59ed" xmlns:ns4="ba0c42fe-c384-4e5c-8b7e-39f835aa499b" targetNamespace="http://schemas.microsoft.com/office/2006/metadata/properties" ma:root="true" ma:fieldsID="69364903171639c7210568e1dad5854b" ns3:_="" ns4:_="">
    <xsd:import namespace="698e05cf-807a-4609-b4a0-cb865f8e59ed"/>
    <xsd:import namespace="ba0c42fe-c384-4e5c-8b7e-39f835aa4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1AE7C-D939-4577-AE9E-A84F405B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e05cf-807a-4609-b4a0-cb865f8e59ed"/>
    <ds:schemaRef ds:uri="ba0c42fe-c384-4e5c-8b7e-39f835aa4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822CA-8B96-476F-9F0F-D37353AD2322}">
  <ds:schemaRefs>
    <ds:schemaRef ds:uri="http://schemas.openxmlformats.org/officeDocument/2006/bibliography"/>
  </ds:schemaRefs>
</ds:datastoreItem>
</file>

<file path=customXml/itemProps3.xml><?xml version="1.0" encoding="utf-8"?>
<ds:datastoreItem xmlns:ds="http://schemas.openxmlformats.org/officeDocument/2006/customXml" ds:itemID="{850EE2DD-C3D5-4BA9-A6E9-7BC13A3B51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6FF27E-ACCD-4712-A532-614FD94C221E}">
  <ds:schemaRefs>
    <ds:schemaRef ds:uri="http://schemas.microsoft.com/sharepoint/v3/contenttype/forms"/>
  </ds:schemaRefs>
</ds:datastoreItem>
</file>

<file path=docMetadata/LabelInfo.xml><?xml version="1.0" encoding="utf-8"?>
<clbl:labelList xmlns:clbl="http://schemas.microsoft.com/office/2020/mipLabelMetadata">
  <clbl:label id="{bafec85b-e817-4277-86cb-66dc7d424280}" enabled="1" method="Standard" siteId="{aab2e961-1f45-4717-9a42-8f87802af9b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AkzoNobel</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AkzoNobel</dc:creator>
  <cp:lastModifiedBy>Husnain Mehmood</cp:lastModifiedBy>
  <cp:revision>2</cp:revision>
  <cp:lastPrinted>2022-02-23T14:05:00Z</cp:lastPrinted>
  <dcterms:created xsi:type="dcterms:W3CDTF">2024-06-19T15:09:00Z</dcterms:created>
  <dcterms:modified xsi:type="dcterms:W3CDTF">2024-06-19T15:09:00Z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